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64BC9BA4" w14:textId="1ED32D27" w:rsidR="00DB1BA8" w:rsidRPr="0023631F" w:rsidRDefault="008B596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66C90DEF" w14:textId="1071D64D" w:rsidR="00DB1BA8" w:rsidRPr="00A45795" w:rsidRDefault="008B596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52C96DDE" w14:textId="233B5F99" w:rsidR="00DB1BA8" w:rsidRPr="00893A83" w:rsidRDefault="008B596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3FB131D1" w14:textId="2EABA662" w:rsidR="00DB1BA8" w:rsidRPr="00893A83" w:rsidRDefault="008B596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B1BA8"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cena bardzo dobra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166BF022" w14:textId="010E67A6" w:rsidR="00DB1BA8" w:rsidRPr="00893A83" w:rsidRDefault="008B596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3EBAB0F9" w14:textId="77777777" w:rsidR="00B63C91" w:rsidRPr="00B63C91" w:rsidRDefault="00B63C91" w:rsidP="00B63C91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1B24191A" w:rsidR="0029512E" w:rsidRPr="00893A83" w:rsidRDefault="00B63C91" w:rsidP="00B63C91">
      <w:pPr>
        <w:spacing w:after="0"/>
        <w:rPr>
          <w:rFonts w:ascii="Times New Roman" w:hAnsi="Times New Roman"/>
          <w:sz w:val="20"/>
          <w:szCs w:val="20"/>
        </w:rPr>
      </w:pPr>
      <w:r w:rsidRPr="00B63C91">
        <w:rPr>
          <w:rFonts w:ascii="Times New Roman" w:hAnsi="Times New Roman"/>
          <w:sz w:val="20"/>
          <w:szCs w:val="20"/>
        </w:rPr>
        <w:t>Ocenę niedostateczna otrzymuje uczeń, który nie spełnił wymagań określonych na oceną dopuszczającą i ze sprawdzianów nie uzyskał minimum 31 % maksymalnej liczby możliwych do zdobycia punktów.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C74F" w14:textId="77777777" w:rsidR="00101331" w:rsidRDefault="00101331" w:rsidP="000B228B">
      <w:pPr>
        <w:spacing w:after="0" w:line="240" w:lineRule="auto"/>
      </w:pPr>
      <w:r>
        <w:separator/>
      </w:r>
    </w:p>
  </w:endnote>
  <w:endnote w:type="continuationSeparator" w:id="0">
    <w:p w14:paraId="267CE4B8" w14:textId="77777777" w:rsidR="00101331" w:rsidRDefault="00101331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3378" w14:textId="77777777" w:rsidR="00101331" w:rsidRDefault="00101331" w:rsidP="000B228B">
      <w:pPr>
        <w:spacing w:after="0" w:line="240" w:lineRule="auto"/>
      </w:pPr>
      <w:r>
        <w:separator/>
      </w:r>
    </w:p>
  </w:footnote>
  <w:footnote w:type="continuationSeparator" w:id="0">
    <w:p w14:paraId="5860259D" w14:textId="77777777" w:rsidR="00101331" w:rsidRDefault="00101331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01331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B5963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435B7"/>
    <w:rsid w:val="00B57F51"/>
    <w:rsid w:val="00B60A04"/>
    <w:rsid w:val="00B63ABB"/>
    <w:rsid w:val="00B63C91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12741</Words>
  <Characters>76447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Lenovo</cp:lastModifiedBy>
  <cp:revision>2</cp:revision>
  <dcterms:created xsi:type="dcterms:W3CDTF">2023-03-01T07:53:00Z</dcterms:created>
  <dcterms:modified xsi:type="dcterms:W3CDTF">2023-03-01T07:53:00Z</dcterms:modified>
</cp:coreProperties>
</file>