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4AFBFC89" w14:textId="77777777" w:rsidR="008D05D1" w:rsidRDefault="005E3504" w:rsidP="008D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05D1" w:rsidRPr="008D05D1">
        <w:rPr>
          <w:rFonts w:ascii="Times New Roman" w:eastAsia="CIDFont+F2" w:hAnsi="Times New Roman" w:cs="Times New Roman"/>
          <w:b/>
          <w:sz w:val="24"/>
          <w:szCs w:val="24"/>
        </w:rPr>
        <w:t xml:space="preserve">Indukčný varič </w:t>
      </w:r>
    </w:p>
    <w:p w14:paraId="47985D17" w14:textId="6E799FFF" w:rsidR="008D05D1" w:rsidRPr="008D05D1" w:rsidRDefault="008D05D1" w:rsidP="008D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D05D1">
        <w:rPr>
          <w:rFonts w:ascii="Times New Roman" w:eastAsia="CIDFont+F2" w:hAnsi="Times New Roman" w:cs="Times New Roman"/>
          <w:sz w:val="24"/>
          <w:szCs w:val="24"/>
        </w:rPr>
        <w:t>Minimálne parametre: počet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eastAsia="CIDFont+F2" w:hAnsi="Times New Roman" w:cs="Times New Roman"/>
          <w:sz w:val="24"/>
          <w:szCs w:val="24"/>
        </w:rPr>
        <w:t>platničiek 2 ks, termostat, ochrana proti prehriatiu,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rýchle nahriatie, automatické </w:t>
      </w:r>
      <w:proofErr w:type="spellStart"/>
      <w:r w:rsidRPr="008D05D1">
        <w:rPr>
          <w:rFonts w:ascii="Times New Roman" w:eastAsia="CIDFont+F2" w:hAnsi="Times New Roman" w:cs="Times New Roman"/>
          <w:sz w:val="24"/>
          <w:szCs w:val="24"/>
        </w:rPr>
        <w:t>vypnutie,protišmykové</w:t>
      </w:r>
      <w:proofErr w:type="spellEnd"/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nohy, svetelný indikátor prevádzky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eastAsia="CIDFont+F2" w:hAnsi="Times New Roman" w:cs="Times New Roman"/>
          <w:sz w:val="24"/>
          <w:szCs w:val="24"/>
        </w:rPr>
        <w:t>a LCD displej</w:t>
      </w:r>
      <w:r w:rsidRPr="008D05D1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2EB8E216" w14:textId="4013FA32" w:rsidR="008D05D1" w:rsidRDefault="008D05D1" w:rsidP="008D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Potrebný ku aktivite, kde sa využije </w:t>
      </w:r>
      <w:proofErr w:type="spellStart"/>
      <w:r w:rsidRPr="008D05D1">
        <w:rPr>
          <w:rFonts w:ascii="Times New Roman" w:eastAsia="CIDFont+F2" w:hAnsi="Times New Roman" w:cs="Times New Roman"/>
          <w:sz w:val="24"/>
          <w:szCs w:val="24"/>
        </w:rPr>
        <w:t>sous</w:t>
      </w:r>
      <w:proofErr w:type="spellEnd"/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vide,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eastAsia="CIDFont+F2" w:hAnsi="Times New Roman" w:cs="Times New Roman"/>
          <w:sz w:val="24"/>
          <w:szCs w:val="24"/>
        </w:rPr>
        <w:t>pomocou ktorého sa pripraví pokrm pomalým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eastAsia="CIDFont+F2" w:hAnsi="Times New Roman" w:cs="Times New Roman"/>
          <w:sz w:val="24"/>
          <w:szCs w:val="24"/>
        </w:rPr>
        <w:t>varením. Potom je potrebné ho ešte prudko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opiecť, aby sa dosiahla </w:t>
      </w:r>
      <w:proofErr w:type="spellStart"/>
      <w:r w:rsidRPr="008D05D1">
        <w:rPr>
          <w:rFonts w:ascii="Times New Roman" w:eastAsia="CIDFont+F2" w:hAnsi="Times New Roman" w:cs="Times New Roman"/>
          <w:sz w:val="24"/>
          <w:szCs w:val="24"/>
        </w:rPr>
        <w:t>chrumkavosť</w:t>
      </w:r>
      <w:proofErr w:type="spellEnd"/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pokrmu.</w:t>
      </w: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eastAsia="CIDFont+F2" w:hAnsi="Times New Roman" w:cs="Times New Roman"/>
          <w:sz w:val="24"/>
          <w:szCs w:val="24"/>
        </w:rPr>
        <w:t>Práve na toto je potrebný indukčný varič.</w:t>
      </w:r>
    </w:p>
    <w:p w14:paraId="5972359E" w14:textId="77777777" w:rsidR="008D05D1" w:rsidRPr="008D05D1" w:rsidRDefault="008D05D1" w:rsidP="008D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5CD4C53E" w:rsidR="004451C7" w:rsidRDefault="008D05D1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79,60</w:t>
            </w:r>
            <w:bookmarkStart w:id="0" w:name="_GoBack"/>
            <w:bookmarkEnd w:id="0"/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55628850" w:rsidR="004451C7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62F155B8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096ED49C" w14:textId="5EB5CECA" w:rsidR="00B07902" w:rsidRP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7BDF24BB" w14:textId="5B48AB4E" w:rsidR="004451C7" w:rsidRDefault="005F1626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A9125C0" w14:textId="3400A768" w:rsidR="004451C7" w:rsidRDefault="008D05D1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153,48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34E0A370" w:rsidR="00256773" w:rsidRP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</w:tc>
        <w:tc>
          <w:tcPr>
            <w:tcW w:w="2728" w:type="dxa"/>
          </w:tcPr>
          <w:p w14:paraId="28EACDB1" w14:textId="77777777" w:rsid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52E1B626" w:rsidR="00256773" w:rsidRDefault="005F1626" w:rsidP="005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0AB04A9D" w:rsidR="00256773" w:rsidRDefault="005F1626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48697202" w:rsidR="00256773" w:rsidRDefault="008D05D1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C73F8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D05D1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30</cp:revision>
  <cp:lastPrinted>2020-03-11T13:54:00Z</cp:lastPrinted>
  <dcterms:created xsi:type="dcterms:W3CDTF">2016-12-07T09:25:00Z</dcterms:created>
  <dcterms:modified xsi:type="dcterms:W3CDTF">2021-05-05T09:21:00Z</dcterms:modified>
</cp:coreProperties>
</file>