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58" w:rsidRDefault="001F16EF">
      <w:pPr>
        <w:suppressAutoHyphen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Príloha č. 1</w:t>
      </w:r>
    </w:p>
    <w:tbl>
      <w:tblPr>
        <w:tblW w:w="0" w:type="auto"/>
        <w:tblInd w:w="55" w:type="dxa"/>
        <w:tblCellMar>
          <w:left w:w="10" w:type="dxa"/>
          <w:right w:w="10" w:type="dxa"/>
        </w:tblCellMar>
        <w:tblLook w:val="04A0" w:firstRow="1" w:lastRow="0" w:firstColumn="1" w:lastColumn="0" w:noHBand="0" w:noVBand="1"/>
      </w:tblPr>
      <w:tblGrid>
        <w:gridCol w:w="3417"/>
        <w:gridCol w:w="5529"/>
      </w:tblGrid>
      <w:tr w:rsidR="00F91158">
        <w:tc>
          <w:tcPr>
            <w:tcW w:w="8946" w:type="dxa"/>
            <w:gridSpan w:val="2"/>
            <w:tcBorders>
              <w:top w:val="single" w:sz="4" w:space="0" w:color="000000"/>
              <w:left w:val="single" w:sz="4" w:space="0" w:color="000000"/>
              <w:bottom w:val="single" w:sz="4" w:space="0" w:color="000000"/>
              <w:right w:val="single" w:sz="4" w:space="0" w:color="000000"/>
            </w:tcBorders>
            <w:shd w:val="clear" w:color="000000" w:fill="D9D9D9"/>
            <w:tcMar>
              <w:left w:w="70" w:type="dxa"/>
              <w:right w:w="70" w:type="dxa"/>
            </w:tcMar>
            <w:vAlign w:val="center"/>
          </w:tcPr>
          <w:p w:rsidR="00F91158" w:rsidRDefault="001F16EF">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Identifikačné údaje uchádzača</w:t>
            </w:r>
          </w:p>
          <w:p w:rsidR="00F91158" w:rsidRDefault="001F16EF">
            <w:pPr>
              <w:spacing w:after="0" w:line="240" w:lineRule="auto"/>
              <w:jc w:val="center"/>
            </w:pPr>
            <w:r>
              <w:rPr>
                <w:rFonts w:ascii="Times New Roman" w:eastAsia="Times New Roman" w:hAnsi="Times New Roman" w:cs="Times New Roman"/>
                <w:b/>
                <w:sz w:val="24"/>
              </w:rPr>
              <w:t>Názov zákazky: „</w:t>
            </w:r>
            <w:r w:rsidR="00494DB1">
              <w:rPr>
                <w:rFonts w:ascii="Times New Roman" w:hAnsi="Times New Roman" w:cs="Times New Roman"/>
                <w:sz w:val="24"/>
                <w:szCs w:val="24"/>
              </w:rPr>
              <w:t>Živočíšne výrobky, mäso a mäsové výrobky</w:t>
            </w:r>
            <w:r>
              <w:rPr>
                <w:rFonts w:ascii="Times New Roman" w:eastAsia="Times New Roman" w:hAnsi="Times New Roman" w:cs="Times New Roman"/>
                <w:b/>
                <w:sz w:val="24"/>
              </w:rPr>
              <w:t>“</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F91158" w:rsidRDefault="001F16EF">
            <w:pPr>
              <w:spacing w:after="0" w:line="240" w:lineRule="auto"/>
            </w:pPr>
            <w:r>
              <w:rPr>
                <w:rFonts w:ascii="Times New Roman" w:eastAsia="Times New Roman" w:hAnsi="Times New Roman" w:cs="Times New Roman"/>
                <w:color w:val="000000"/>
                <w:sz w:val="24"/>
              </w:rPr>
              <w:t>Obchodný názov spoločnosti: </w:t>
            </w:r>
          </w:p>
        </w:tc>
        <w:tc>
          <w:tcPr>
            <w:tcW w:w="5529" w:type="dxa"/>
            <w:tcBorders>
              <w:top w:val="single" w:sz="4"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F91158">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pPr>
            <w:r>
              <w:rPr>
                <w:rFonts w:ascii="Times New Roman" w:eastAsia="Times New Roman" w:hAnsi="Times New Roman" w:cs="Times New Roman"/>
                <w:color w:val="000000"/>
                <w:sz w:val="24"/>
              </w:rPr>
              <w:t>Sídlo alebo miesto podnikania: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Ulica, číslo sídla:</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 xml:space="preserve">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PSČ:</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Mesto:</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Štát:</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Štatutárny zástupca:</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Meno, priezvisko, titul:</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sz w:val="24"/>
              </w:rPr>
              <w:tab/>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Telefón:</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r>
              <w:rPr>
                <w:rFonts w:ascii="Times New Roman" w:eastAsia="Times New Roman" w:hAnsi="Times New Roman" w:cs="Times New Roman"/>
                <w:sz w:val="24"/>
              </w:rPr>
              <w:tab/>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Internetová adresa:</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Pr="00990094" w:rsidRDefault="00F91158">
            <w:pPr>
              <w:spacing w:after="0" w:line="240" w:lineRule="auto"/>
              <w:rPr>
                <w:rFonts w:ascii="Times New Roman" w:hAnsi="Times New Roman" w:cs="Times New Roman"/>
                <w:sz w:val="24"/>
                <w:szCs w:val="24"/>
              </w:rPr>
            </w:pPr>
          </w:p>
        </w:tc>
      </w:tr>
      <w:tr w:rsidR="00F91158">
        <w:tc>
          <w:tcPr>
            <w:tcW w:w="3417"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F91158" w:rsidRDefault="001F16EF">
            <w:pPr>
              <w:spacing w:after="0" w:line="240" w:lineRule="auto"/>
            </w:pPr>
            <w:r>
              <w:rPr>
                <w:rFonts w:ascii="Times New Roman" w:eastAsia="Times New Roman" w:hAnsi="Times New Roman" w:cs="Times New Roman"/>
                <w:color w:val="000000"/>
                <w:sz w:val="24"/>
              </w:rPr>
              <w:t>Všeobecné identifikačné údaje: </w:t>
            </w: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IČO: </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IČ DPH:</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DIČ:</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r>
              <w:rPr>
                <w:rFonts w:ascii="Times New Roman" w:eastAsia="Times New Roman" w:hAnsi="Times New Roman" w:cs="Times New Roman"/>
                <w:sz w:val="24"/>
              </w:rPr>
              <w:tab/>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IBAN:</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xml:space="preserve">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Banková inštitúcia:</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Kontaktná osoba:</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vAlign w:val="bottom"/>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rsidR="00F91158" w:rsidRDefault="00F91158">
            <w:pPr>
              <w:spacing w:after="0" w:line="240" w:lineRule="auto"/>
            </w:pPr>
          </w:p>
        </w:tc>
      </w:tr>
      <w:tr w:rsidR="00F91158">
        <w:tc>
          <w:tcPr>
            <w:tcW w:w="3417"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pPr>
            <w:r>
              <w:rPr>
                <w:rFonts w:ascii="Times New Roman" w:eastAsia="Times New Roman" w:hAnsi="Times New Roman" w:cs="Times New Roman"/>
                <w:color w:val="000000"/>
                <w:sz w:val="24"/>
              </w:rPr>
              <w:t>Meno, priezvisko, titul:  </w:t>
            </w: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xml:space="preserve">  </w:t>
            </w:r>
          </w:p>
        </w:tc>
      </w:tr>
      <w:tr w:rsidR="00F91158">
        <w:tc>
          <w:tcPr>
            <w:tcW w:w="341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91158" w:rsidRDefault="001F16E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E-mail:</w:t>
            </w:r>
          </w:p>
          <w:p w:rsidR="00F91158" w:rsidRDefault="00F91158">
            <w:pPr>
              <w:spacing w:after="0" w:line="240" w:lineRule="auto"/>
            </w:pPr>
          </w:p>
        </w:tc>
        <w:tc>
          <w:tcPr>
            <w:tcW w:w="552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F91158" w:rsidRDefault="001F16EF">
            <w:pPr>
              <w:spacing w:after="0" w:line="240" w:lineRule="auto"/>
            </w:pPr>
            <w:r>
              <w:rPr>
                <w:rFonts w:ascii="Times New Roman" w:eastAsia="Times New Roman" w:hAnsi="Times New Roman" w:cs="Times New Roman"/>
                <w:color w:val="000000"/>
                <w:sz w:val="24"/>
              </w:rPr>
              <w:t> </w:t>
            </w:r>
          </w:p>
        </w:tc>
      </w:tr>
    </w:tbl>
    <w:p w:rsidR="00F91158" w:rsidRDefault="00F91158">
      <w:pPr>
        <w:spacing w:after="0" w:line="240" w:lineRule="auto"/>
        <w:rPr>
          <w:rFonts w:ascii="Times New Roman" w:eastAsia="Times New Roman" w:hAnsi="Times New Roman" w:cs="Times New Roman"/>
          <w:sz w:val="24"/>
        </w:rPr>
      </w:pPr>
    </w:p>
    <w:p w:rsidR="00F91158" w:rsidRDefault="00F91158">
      <w:pPr>
        <w:spacing w:after="0" w:line="240" w:lineRule="auto"/>
        <w:rPr>
          <w:rFonts w:ascii="Times New Roman" w:eastAsia="Times New Roman" w:hAnsi="Times New Roman" w:cs="Times New Roman"/>
          <w:sz w:val="24"/>
        </w:rPr>
      </w:pPr>
    </w:p>
    <w:p w:rsidR="00F91158" w:rsidRDefault="001F16E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 dňa ...................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91158" w:rsidRDefault="001F16E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p>
    <w:p w:rsidR="00F91158" w:rsidRDefault="001F16EF">
      <w:pPr>
        <w:spacing w:after="0" w:line="240" w:lineRule="auto"/>
        <w:ind w:left="4956" w:firstLine="708"/>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31524">
        <w:rPr>
          <w:rFonts w:ascii="Times New Roman" w:eastAsia="Times New Roman" w:hAnsi="Times New Roman" w:cs="Times New Roman"/>
          <w:sz w:val="24"/>
        </w:rPr>
        <w:t>(</w:t>
      </w:r>
      <w:r>
        <w:rPr>
          <w:rFonts w:ascii="Times New Roman" w:eastAsia="Times New Roman" w:hAnsi="Times New Roman" w:cs="Times New Roman"/>
          <w:sz w:val="24"/>
        </w:rPr>
        <w:t>podpis a pečiatka uchádzača,</w:t>
      </w:r>
    </w:p>
    <w:p w:rsidR="00F91158" w:rsidRDefault="001F16E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resp. osoby oprávnenej konať za </w:t>
      </w:r>
    </w:p>
    <w:p w:rsidR="00F91158" w:rsidRDefault="001F16EF">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uchádzača</w:t>
      </w:r>
      <w:r w:rsidR="00F31524">
        <w:rPr>
          <w:rFonts w:ascii="Times New Roman" w:eastAsia="Times New Roman" w:hAnsi="Times New Roman" w:cs="Times New Roman"/>
          <w:sz w:val="24"/>
        </w:rPr>
        <w:t>)</w:t>
      </w:r>
    </w:p>
    <w:p w:rsidR="00F91158" w:rsidRDefault="00F91158">
      <w:pPr>
        <w:tabs>
          <w:tab w:val="left" w:pos="2520"/>
        </w:tabs>
        <w:jc w:val="center"/>
        <w:rPr>
          <w:rFonts w:ascii="Times New Roman" w:eastAsia="Times New Roman" w:hAnsi="Times New Roman" w:cs="Times New Roman"/>
          <w:b/>
          <w:sz w:val="24"/>
        </w:rPr>
      </w:pPr>
    </w:p>
    <w:p w:rsidR="00F91158" w:rsidRDefault="00F91158">
      <w:pPr>
        <w:spacing w:after="0" w:line="276" w:lineRule="auto"/>
        <w:jc w:val="both"/>
        <w:rPr>
          <w:rFonts w:ascii="Times New Roman" w:eastAsia="Times New Roman" w:hAnsi="Times New Roman" w:cs="Times New Roman"/>
          <w:sz w:val="24"/>
        </w:rPr>
      </w:pPr>
    </w:p>
    <w:p w:rsidR="00F91158" w:rsidRDefault="00F91158">
      <w:pPr>
        <w:spacing w:after="0" w:line="276" w:lineRule="auto"/>
        <w:jc w:val="both"/>
        <w:rPr>
          <w:rFonts w:ascii="Times New Roman" w:eastAsia="Times New Roman" w:hAnsi="Times New Roman" w:cs="Times New Roman"/>
          <w:sz w:val="24"/>
        </w:rPr>
      </w:pPr>
    </w:p>
    <w:p w:rsidR="00F91158" w:rsidRDefault="001F16EF">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Príloha č. 2                        </w:t>
      </w:r>
      <w:r>
        <w:rPr>
          <w:rFonts w:ascii="Times New Roman" w:eastAsia="Times New Roman" w:hAnsi="Times New Roman" w:cs="Times New Roman"/>
          <w:b/>
          <w:sz w:val="24"/>
        </w:rPr>
        <w:t>Návrh na plnenie kritérií (súťažná ponuka)</w:t>
      </w:r>
    </w:p>
    <w:tbl>
      <w:tblPr>
        <w:tblW w:w="5174" w:type="pct"/>
        <w:tblCellMar>
          <w:left w:w="70" w:type="dxa"/>
          <w:right w:w="70" w:type="dxa"/>
        </w:tblCellMar>
        <w:tblLook w:val="04A0" w:firstRow="1" w:lastRow="0" w:firstColumn="1" w:lastColumn="0" w:noHBand="0" w:noVBand="1"/>
      </w:tblPr>
      <w:tblGrid>
        <w:gridCol w:w="445"/>
        <w:gridCol w:w="5574"/>
        <w:gridCol w:w="471"/>
        <w:gridCol w:w="890"/>
        <w:gridCol w:w="990"/>
        <w:gridCol w:w="582"/>
        <w:gridCol w:w="581"/>
      </w:tblGrid>
      <w:tr w:rsidR="00D73E7E" w:rsidRPr="00D73E7E" w:rsidTr="00F31524">
        <w:trPr>
          <w:trHeight w:val="630"/>
        </w:trPr>
        <w:tc>
          <w:tcPr>
            <w:tcW w:w="3158" w:type="pct"/>
            <w:gridSpan w:val="2"/>
            <w:tcBorders>
              <w:top w:val="single" w:sz="8" w:space="0" w:color="auto"/>
              <w:left w:val="single" w:sz="8" w:space="0" w:color="auto"/>
              <w:bottom w:val="single" w:sz="8" w:space="0" w:color="auto"/>
              <w:right w:val="nil"/>
            </w:tcBorders>
            <w:shd w:val="clear" w:color="000000" w:fill="D9D9D9"/>
            <w:noWrap/>
            <w:vAlign w:val="center"/>
            <w:hideMark/>
          </w:tcPr>
          <w:p w:rsidR="00494DB1" w:rsidRDefault="00D73E7E" w:rsidP="00D73E7E">
            <w:pPr>
              <w:spacing w:after="0" w:line="240" w:lineRule="auto"/>
              <w:rPr>
                <w:rFonts w:ascii="Times New Roman" w:hAnsi="Times New Roman" w:cs="Times New Roman"/>
                <w:sz w:val="24"/>
                <w:szCs w:val="24"/>
              </w:rPr>
            </w:pPr>
            <w:r w:rsidRPr="00D73E7E">
              <w:rPr>
                <w:rFonts w:ascii="Times New Roman" w:eastAsia="Times New Roman" w:hAnsi="Times New Roman" w:cs="Times New Roman"/>
                <w:b/>
                <w:bCs/>
                <w:sz w:val="24"/>
                <w:szCs w:val="24"/>
              </w:rPr>
              <w:t>Špecifikácia predmetu zákazky "</w:t>
            </w:r>
            <w:r w:rsidR="00494DB1">
              <w:rPr>
                <w:rFonts w:ascii="Times New Roman" w:hAnsi="Times New Roman" w:cs="Times New Roman"/>
                <w:sz w:val="24"/>
                <w:szCs w:val="24"/>
              </w:rPr>
              <w:t>Živočíšne výrobky,</w:t>
            </w:r>
          </w:p>
          <w:p w:rsidR="00D73E7E" w:rsidRPr="00D73E7E" w:rsidRDefault="00494DB1" w:rsidP="00D73E7E">
            <w:pPr>
              <w:spacing w:after="0" w:line="240" w:lineRule="auto"/>
              <w:rPr>
                <w:rFonts w:ascii="Times New Roman" w:eastAsia="Times New Roman" w:hAnsi="Times New Roman" w:cs="Times New Roman"/>
                <w:b/>
                <w:bCs/>
                <w:sz w:val="24"/>
                <w:szCs w:val="24"/>
              </w:rPr>
            </w:pPr>
            <w:r>
              <w:rPr>
                <w:rFonts w:ascii="Times New Roman" w:hAnsi="Times New Roman" w:cs="Times New Roman"/>
                <w:sz w:val="24"/>
                <w:szCs w:val="24"/>
              </w:rPr>
              <w:t xml:space="preserve"> mäso a mäsové výrobky</w:t>
            </w:r>
            <w:r w:rsidR="00D73E7E" w:rsidRPr="00D73E7E">
              <w:rPr>
                <w:rFonts w:ascii="Times New Roman" w:eastAsia="Times New Roman" w:hAnsi="Times New Roman" w:cs="Times New Roman"/>
                <w:b/>
                <w:bCs/>
                <w:sz w:val="24"/>
                <w:szCs w:val="24"/>
              </w:rPr>
              <w:t xml:space="preserve">"    </w:t>
            </w:r>
          </w:p>
        </w:tc>
        <w:tc>
          <w:tcPr>
            <w:tcW w:w="1842" w:type="pct"/>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 xml:space="preserve">Množstvo na 1 rok                                                                              </w:t>
            </w:r>
          </w:p>
        </w:tc>
      </w:tr>
      <w:tr w:rsidR="00D73E7E" w:rsidRPr="00D73E7E" w:rsidTr="00F31524">
        <w:trPr>
          <w:trHeight w:val="645"/>
        </w:trPr>
        <w:tc>
          <w:tcPr>
            <w:tcW w:w="234" w:type="pct"/>
            <w:tcBorders>
              <w:top w:val="nil"/>
              <w:left w:val="single" w:sz="8" w:space="0" w:color="auto"/>
              <w:bottom w:val="single" w:sz="8" w:space="0" w:color="auto"/>
              <w:right w:val="single" w:sz="8" w:space="0" w:color="auto"/>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 xml:space="preserve"> </w:t>
            </w:r>
          </w:p>
        </w:tc>
        <w:tc>
          <w:tcPr>
            <w:tcW w:w="2923" w:type="pct"/>
            <w:tcBorders>
              <w:top w:val="nil"/>
              <w:left w:val="nil"/>
              <w:bottom w:val="single" w:sz="8" w:space="0" w:color="auto"/>
              <w:right w:val="nil"/>
            </w:tcBorders>
            <w:shd w:val="clear" w:color="000000" w:fill="DCE6F1"/>
            <w:hideMark/>
          </w:tcPr>
          <w:p w:rsidR="00D73E7E" w:rsidRPr="00D73E7E" w:rsidRDefault="00D73E7E" w:rsidP="00D73E7E">
            <w:pPr>
              <w:spacing w:after="0" w:line="240" w:lineRule="auto"/>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Hovädzie mäso čerstvé, bravčové mäso čerstvé, hydina a mäsové výrobky</w:t>
            </w:r>
          </w:p>
        </w:tc>
        <w:tc>
          <w:tcPr>
            <w:tcW w:w="247" w:type="pct"/>
            <w:tcBorders>
              <w:top w:val="nil"/>
              <w:left w:val="single" w:sz="8" w:space="0" w:color="auto"/>
              <w:bottom w:val="single" w:sz="8"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18"/>
                <w:szCs w:val="18"/>
              </w:rPr>
            </w:pPr>
            <w:proofErr w:type="spellStart"/>
            <w:r w:rsidRPr="00D73E7E">
              <w:rPr>
                <w:rFonts w:ascii="Times New Roman" w:eastAsia="Times New Roman" w:hAnsi="Times New Roman" w:cs="Times New Roman"/>
                <w:b/>
                <w:bCs/>
                <w:sz w:val="18"/>
                <w:szCs w:val="18"/>
              </w:rPr>
              <w:t>Mer</w:t>
            </w:r>
            <w:proofErr w:type="spellEnd"/>
            <w:r>
              <w:rPr>
                <w:rFonts w:ascii="Times New Roman" w:eastAsia="Times New Roman" w:hAnsi="Times New Roman" w:cs="Times New Roman"/>
                <w:b/>
                <w:bCs/>
                <w:sz w:val="18"/>
                <w:szCs w:val="18"/>
              </w:rPr>
              <w:t xml:space="preserve"> </w:t>
            </w:r>
            <w:r w:rsidRPr="00D73E7E">
              <w:rPr>
                <w:rFonts w:ascii="Times New Roman" w:eastAsia="Times New Roman" w:hAnsi="Times New Roman" w:cs="Times New Roman"/>
                <w:b/>
                <w:bCs/>
                <w:sz w:val="18"/>
                <w:szCs w:val="18"/>
              </w:rPr>
              <w:t xml:space="preserve">  jed.</w:t>
            </w:r>
          </w:p>
        </w:tc>
        <w:tc>
          <w:tcPr>
            <w:tcW w:w="467" w:type="pct"/>
            <w:tcBorders>
              <w:top w:val="nil"/>
              <w:left w:val="nil"/>
              <w:bottom w:val="single" w:sz="8" w:space="0" w:color="auto"/>
              <w:right w:val="single" w:sz="4" w:space="0" w:color="auto"/>
            </w:tcBorders>
            <w:shd w:val="clear" w:color="auto" w:fill="auto"/>
            <w:noWrap/>
            <w:vAlign w:val="center"/>
            <w:hideMark/>
          </w:tcPr>
          <w:p w:rsidR="00D73E7E" w:rsidRPr="00D73E7E" w:rsidRDefault="00D73E7E" w:rsidP="00D73E7E">
            <w:pPr>
              <w:spacing w:after="0" w:line="240" w:lineRule="auto"/>
              <w:rPr>
                <w:rFonts w:ascii="Times New Roman" w:eastAsia="Times New Roman" w:hAnsi="Times New Roman" w:cs="Times New Roman"/>
                <w:b/>
                <w:bCs/>
                <w:sz w:val="18"/>
                <w:szCs w:val="18"/>
              </w:rPr>
            </w:pPr>
            <w:r w:rsidRPr="00D73E7E">
              <w:rPr>
                <w:rFonts w:ascii="Times New Roman" w:eastAsia="Times New Roman" w:hAnsi="Times New Roman" w:cs="Times New Roman"/>
                <w:b/>
                <w:bCs/>
                <w:sz w:val="18"/>
                <w:szCs w:val="18"/>
              </w:rPr>
              <w:t>Množstvo</w:t>
            </w:r>
          </w:p>
        </w:tc>
        <w:tc>
          <w:tcPr>
            <w:tcW w:w="519" w:type="pct"/>
            <w:tcBorders>
              <w:top w:val="nil"/>
              <w:left w:val="nil"/>
              <w:bottom w:val="single" w:sz="8"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20"/>
                <w:szCs w:val="20"/>
              </w:rPr>
            </w:pPr>
            <w:proofErr w:type="spellStart"/>
            <w:r w:rsidRPr="00D73E7E">
              <w:rPr>
                <w:rFonts w:ascii="Times New Roman" w:eastAsia="Times New Roman" w:hAnsi="Times New Roman" w:cs="Times New Roman"/>
                <w:b/>
                <w:bCs/>
                <w:sz w:val="20"/>
                <w:szCs w:val="20"/>
              </w:rPr>
              <w:t>Jedn.cena</w:t>
            </w:r>
            <w:proofErr w:type="spellEnd"/>
            <w:r w:rsidRPr="00D73E7E">
              <w:rPr>
                <w:rFonts w:ascii="Times New Roman" w:eastAsia="Times New Roman" w:hAnsi="Times New Roman" w:cs="Times New Roman"/>
                <w:b/>
                <w:bCs/>
                <w:sz w:val="20"/>
                <w:szCs w:val="20"/>
              </w:rPr>
              <w:t xml:space="preserve"> bez DPH</w:t>
            </w:r>
          </w:p>
        </w:tc>
        <w:tc>
          <w:tcPr>
            <w:tcW w:w="305" w:type="pct"/>
            <w:tcBorders>
              <w:top w:val="nil"/>
              <w:left w:val="nil"/>
              <w:bottom w:val="single" w:sz="8" w:space="0" w:color="auto"/>
              <w:right w:val="single" w:sz="8"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18"/>
                <w:szCs w:val="18"/>
              </w:rPr>
            </w:pPr>
            <w:r w:rsidRPr="00D73E7E">
              <w:rPr>
                <w:rFonts w:ascii="Times New Roman" w:eastAsia="Times New Roman" w:hAnsi="Times New Roman" w:cs="Times New Roman"/>
                <w:b/>
                <w:bCs/>
                <w:sz w:val="18"/>
                <w:szCs w:val="18"/>
              </w:rPr>
              <w:t>Spolu cena bez DPH</w:t>
            </w:r>
          </w:p>
        </w:tc>
        <w:tc>
          <w:tcPr>
            <w:tcW w:w="305" w:type="pct"/>
            <w:tcBorders>
              <w:top w:val="nil"/>
              <w:left w:val="nil"/>
              <w:bottom w:val="single" w:sz="8"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b/>
                <w:bCs/>
                <w:sz w:val="18"/>
                <w:szCs w:val="18"/>
              </w:rPr>
            </w:pPr>
            <w:r w:rsidRPr="00D73E7E">
              <w:rPr>
                <w:rFonts w:ascii="Times New Roman" w:eastAsia="Times New Roman" w:hAnsi="Times New Roman" w:cs="Times New Roman"/>
                <w:b/>
                <w:bCs/>
                <w:sz w:val="18"/>
                <w:szCs w:val="18"/>
              </w:rPr>
              <w:t>Spolu cena s DPH</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Hovädzie stehno z býka, chladený bez kože, bez kostí, bledočervenej farby</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200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18"/>
                <w:szCs w:val="18"/>
              </w:rPr>
            </w:pPr>
            <w:r w:rsidRPr="00D73E7E">
              <w:rPr>
                <w:rFonts w:ascii="Times New Roman" w:eastAsia="Times New Roman" w:hAnsi="Times New Roman" w:cs="Times New Roman"/>
                <w:sz w:val="18"/>
                <w:szCs w:val="18"/>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2</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Hovädzie plece z býka, chladené, bez kože, bez kostí, bledočervenej farby</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3</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Hovädzia falošná sviečková, chladené, bez kože, bez kostí, bledočervenej farby </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E7E" w:rsidRPr="00D73E7E">
              <w:rPr>
                <w:rFonts w:ascii="Times New Roman" w:eastAsia="Times New Roman" w:hAnsi="Times New Roman" w:cs="Times New Roman"/>
                <w:sz w:val="24"/>
                <w:szCs w:val="24"/>
              </w:rPr>
              <w:t>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Bravčové stehno, chladené mäso, bez kostí a kože, bez mastných častí a bledoružovej farby</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E7E" w:rsidRPr="00D73E7E">
              <w:rPr>
                <w:rFonts w:ascii="Times New Roman" w:eastAsia="Times New Roman" w:hAnsi="Times New Roman" w:cs="Times New Roman"/>
                <w:sz w:val="24"/>
                <w:szCs w:val="24"/>
              </w:rPr>
              <w:t>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Bravčové karé, čerstvé chladené mäso, bez kostí a kože, bledoružovej farby</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73E7E" w:rsidRPr="00D73E7E">
              <w:rPr>
                <w:rFonts w:ascii="Times New Roman" w:eastAsia="Times New Roman" w:hAnsi="Times New Roman" w:cs="Times New Roman"/>
                <w:sz w:val="24"/>
                <w:szCs w:val="24"/>
              </w:rPr>
              <w:t>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630"/>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Bravčová krkovička, čerstvé chladené mäso, bez kostí a kože, bledoružovej farby</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500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proofErr w:type="spellStart"/>
            <w:r w:rsidRPr="00D73E7E">
              <w:rPr>
                <w:rFonts w:ascii="Times New Roman" w:eastAsia="Times New Roman" w:hAnsi="Times New Roman" w:cs="Times New Roman"/>
                <w:sz w:val="24"/>
                <w:szCs w:val="24"/>
              </w:rPr>
              <w:t>Bračová</w:t>
            </w:r>
            <w:proofErr w:type="spellEnd"/>
            <w:r w:rsidRPr="00D73E7E">
              <w:rPr>
                <w:rFonts w:ascii="Times New Roman" w:eastAsia="Times New Roman" w:hAnsi="Times New Roman" w:cs="Times New Roman"/>
                <w:sz w:val="24"/>
                <w:szCs w:val="24"/>
              </w:rPr>
              <w:t xml:space="preserve"> pečeň, bravčové vnútornosti, opracované, bez šliach</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Bratislavské párky, mäkké výrobky, tepelne opracované </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50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Spišské párky, mäkké výrobky, tepelne opracované </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50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0</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Šunka špeciál s obsahom mäsa 93%, tepelne opracovaná</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1</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Údené karé lahôdkové, tepelne opracované </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40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2</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Údená Mor. krkovička, </w:t>
            </w:r>
            <w:proofErr w:type="spellStart"/>
            <w:r w:rsidRPr="00D73E7E">
              <w:rPr>
                <w:rFonts w:ascii="Times New Roman" w:eastAsia="Times New Roman" w:hAnsi="Times New Roman" w:cs="Times New Roman"/>
                <w:sz w:val="24"/>
                <w:szCs w:val="24"/>
              </w:rPr>
              <w:t>vakuovo</w:t>
            </w:r>
            <w:proofErr w:type="spellEnd"/>
            <w:r w:rsidRPr="00D73E7E">
              <w:rPr>
                <w:rFonts w:ascii="Times New Roman" w:eastAsia="Times New Roman" w:hAnsi="Times New Roman" w:cs="Times New Roman"/>
                <w:sz w:val="24"/>
                <w:szCs w:val="24"/>
              </w:rPr>
              <w:t xml:space="preserve"> balená, 800g, tepelne opracovaná</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200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3</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xml:space="preserve">Údená klobása s obsahom mäsa 95%, tepelne opracované </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70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4</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Slanina údená, bez kože a tepelné opracovaná</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70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5</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Bravčová panenská, kuchynsky opracovaná</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D73E7E" w:rsidRPr="00D73E7E">
              <w:rPr>
                <w:rFonts w:ascii="Times New Roman" w:eastAsia="Times New Roman" w:hAnsi="Times New Roman" w:cs="Times New Roman"/>
                <w:sz w:val="24"/>
                <w:szCs w:val="24"/>
              </w:rPr>
              <w:t>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6</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Kuracie prsia bez kostí a kože, mrazené, nesolené, slovenské</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73E7E" w:rsidRPr="00D73E7E">
              <w:rPr>
                <w:rFonts w:ascii="Times New Roman" w:eastAsia="Times New Roman" w:hAnsi="Times New Roman" w:cs="Times New Roman"/>
                <w:sz w:val="24"/>
                <w:szCs w:val="24"/>
              </w:rPr>
              <w:t>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7</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proofErr w:type="spellStart"/>
            <w:r w:rsidRPr="00D73E7E">
              <w:rPr>
                <w:rFonts w:ascii="Times New Roman" w:eastAsia="Times New Roman" w:hAnsi="Times New Roman" w:cs="Times New Roman"/>
                <w:sz w:val="24"/>
                <w:szCs w:val="24"/>
              </w:rPr>
              <w:t>Kuracií</w:t>
            </w:r>
            <w:proofErr w:type="spellEnd"/>
            <w:r w:rsidRPr="00D73E7E">
              <w:rPr>
                <w:rFonts w:ascii="Times New Roman" w:eastAsia="Times New Roman" w:hAnsi="Times New Roman" w:cs="Times New Roman"/>
                <w:sz w:val="24"/>
                <w:szCs w:val="24"/>
              </w:rPr>
              <w:t xml:space="preserve"> stehenný </w:t>
            </w:r>
            <w:proofErr w:type="spellStart"/>
            <w:r w:rsidRPr="00D73E7E">
              <w:rPr>
                <w:rFonts w:ascii="Times New Roman" w:eastAsia="Times New Roman" w:hAnsi="Times New Roman" w:cs="Times New Roman"/>
                <w:sz w:val="24"/>
                <w:szCs w:val="24"/>
              </w:rPr>
              <w:t>steak</w:t>
            </w:r>
            <w:proofErr w:type="spellEnd"/>
            <w:r w:rsidRPr="00D73E7E">
              <w:rPr>
                <w:rFonts w:ascii="Times New Roman" w:eastAsia="Times New Roman" w:hAnsi="Times New Roman" w:cs="Times New Roman"/>
                <w:sz w:val="24"/>
                <w:szCs w:val="24"/>
              </w:rPr>
              <w:t xml:space="preserve"> bez kosti a kože, mrazené, slovenské</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300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1</w:t>
            </w:r>
            <w:r w:rsidR="00F31524">
              <w:rPr>
                <w:rFonts w:ascii="Times New Roman" w:eastAsia="Times New Roman" w:hAnsi="Times New Roman" w:cs="Times New Roman"/>
                <w:sz w:val="24"/>
                <w:szCs w:val="24"/>
              </w:rPr>
              <w:t>8</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Kuracie stehno 260g, mrazené, slovenské</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D73E7E" w:rsidRPr="00D73E7E">
              <w:rPr>
                <w:rFonts w:ascii="Times New Roman" w:eastAsia="Times New Roman" w:hAnsi="Times New Roman" w:cs="Times New Roman"/>
                <w:sz w:val="24"/>
                <w:szCs w:val="24"/>
              </w:rPr>
              <w:t>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F31524" w:rsidP="00D73E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Morčacie prsia mrazené, nesolené, slovenské</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F31524" w:rsidP="00D73E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73E7E" w:rsidRPr="00D73E7E">
              <w:rPr>
                <w:rFonts w:ascii="Times New Roman" w:eastAsia="Times New Roman" w:hAnsi="Times New Roman" w:cs="Times New Roman"/>
                <w:sz w:val="24"/>
                <w:szCs w:val="24"/>
              </w:rPr>
              <w:t>00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315"/>
        </w:trPr>
        <w:tc>
          <w:tcPr>
            <w:tcW w:w="234" w:type="pct"/>
            <w:tcBorders>
              <w:top w:val="nil"/>
              <w:left w:val="single" w:sz="8" w:space="0" w:color="auto"/>
              <w:bottom w:val="single" w:sz="4" w:space="0" w:color="auto"/>
              <w:right w:val="nil"/>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2</w:t>
            </w:r>
            <w:r w:rsidR="00F31524">
              <w:rPr>
                <w:rFonts w:ascii="Times New Roman" w:eastAsia="Times New Roman" w:hAnsi="Times New Roman" w:cs="Times New Roman"/>
                <w:sz w:val="24"/>
                <w:szCs w:val="24"/>
              </w:rPr>
              <w:t>0</w:t>
            </w:r>
          </w:p>
        </w:tc>
        <w:tc>
          <w:tcPr>
            <w:tcW w:w="2923" w:type="pct"/>
            <w:tcBorders>
              <w:top w:val="nil"/>
              <w:left w:val="single" w:sz="4" w:space="0" w:color="auto"/>
              <w:bottom w:val="single" w:sz="4" w:space="0" w:color="auto"/>
              <w:right w:val="nil"/>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Dusená bravčová šunka 70%</w:t>
            </w:r>
          </w:p>
        </w:tc>
        <w:tc>
          <w:tcPr>
            <w:tcW w:w="247" w:type="pct"/>
            <w:tcBorders>
              <w:top w:val="nil"/>
              <w:left w:val="single" w:sz="8" w:space="0" w:color="auto"/>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kg</w:t>
            </w:r>
          </w:p>
        </w:tc>
        <w:tc>
          <w:tcPr>
            <w:tcW w:w="467"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60</w:t>
            </w:r>
          </w:p>
        </w:tc>
        <w:tc>
          <w:tcPr>
            <w:tcW w:w="519"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4" w:space="0" w:color="auto"/>
              <w:right w:val="single" w:sz="8"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r>
      <w:tr w:rsidR="00D73E7E" w:rsidRPr="00D73E7E" w:rsidTr="00F31524">
        <w:trPr>
          <w:trHeight w:val="270"/>
        </w:trPr>
        <w:tc>
          <w:tcPr>
            <w:tcW w:w="234" w:type="pct"/>
            <w:tcBorders>
              <w:top w:val="nil"/>
              <w:left w:val="single" w:sz="8" w:space="0" w:color="auto"/>
              <w:bottom w:val="single" w:sz="8" w:space="0" w:color="auto"/>
              <w:right w:val="single" w:sz="4" w:space="0" w:color="auto"/>
            </w:tcBorders>
            <w:shd w:val="clear" w:color="auto" w:fill="auto"/>
            <w:noWrap/>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 </w:t>
            </w:r>
          </w:p>
        </w:tc>
        <w:tc>
          <w:tcPr>
            <w:tcW w:w="2923" w:type="pct"/>
            <w:tcBorders>
              <w:top w:val="nil"/>
              <w:left w:val="nil"/>
              <w:bottom w:val="single" w:sz="8" w:space="0" w:color="auto"/>
              <w:right w:val="nil"/>
            </w:tcBorders>
            <w:shd w:val="clear" w:color="auto" w:fill="auto"/>
            <w:noWrap/>
            <w:vAlign w:val="bottom"/>
            <w:hideMark/>
          </w:tcPr>
          <w:p w:rsidR="00D73E7E" w:rsidRPr="00D73E7E" w:rsidRDefault="00D73E7E" w:rsidP="00D73E7E">
            <w:pPr>
              <w:spacing w:after="0" w:line="240" w:lineRule="auto"/>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Spolu</w:t>
            </w:r>
          </w:p>
        </w:tc>
        <w:tc>
          <w:tcPr>
            <w:tcW w:w="247" w:type="pct"/>
            <w:tcBorders>
              <w:top w:val="nil"/>
              <w:left w:val="single" w:sz="8" w:space="0" w:color="auto"/>
              <w:bottom w:val="single" w:sz="8" w:space="0" w:color="auto"/>
              <w:right w:val="single" w:sz="4" w:space="0" w:color="auto"/>
            </w:tcBorders>
            <w:shd w:val="clear" w:color="auto" w:fill="auto"/>
            <w:vAlign w:val="center"/>
            <w:hideMark/>
          </w:tcPr>
          <w:p w:rsidR="00D73E7E" w:rsidRPr="00D73E7E" w:rsidRDefault="00D73E7E" w:rsidP="00D73E7E">
            <w:pPr>
              <w:spacing w:after="0" w:line="240" w:lineRule="auto"/>
              <w:jc w:val="center"/>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w:t>
            </w:r>
          </w:p>
        </w:tc>
        <w:tc>
          <w:tcPr>
            <w:tcW w:w="467" w:type="pct"/>
            <w:tcBorders>
              <w:top w:val="nil"/>
              <w:left w:val="nil"/>
              <w:bottom w:val="single" w:sz="8" w:space="0" w:color="auto"/>
              <w:right w:val="single" w:sz="4" w:space="0" w:color="auto"/>
            </w:tcBorders>
            <w:shd w:val="clear" w:color="auto" w:fill="auto"/>
            <w:hideMark/>
          </w:tcPr>
          <w:p w:rsidR="00D73E7E" w:rsidRPr="00D73E7E" w:rsidRDefault="00D73E7E" w:rsidP="00D73E7E">
            <w:pPr>
              <w:spacing w:after="0" w:line="240" w:lineRule="auto"/>
              <w:jc w:val="center"/>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w:t>
            </w:r>
          </w:p>
        </w:tc>
        <w:tc>
          <w:tcPr>
            <w:tcW w:w="519" w:type="pct"/>
            <w:tcBorders>
              <w:top w:val="nil"/>
              <w:left w:val="nil"/>
              <w:bottom w:val="single" w:sz="8" w:space="0" w:color="auto"/>
              <w:right w:val="single" w:sz="4"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8" w:space="0" w:color="auto"/>
              <w:right w:val="single" w:sz="4" w:space="0" w:color="auto"/>
            </w:tcBorders>
            <w:shd w:val="clear" w:color="auto" w:fill="auto"/>
            <w:vAlign w:val="center"/>
            <w:hideMark/>
          </w:tcPr>
          <w:p w:rsidR="00D73E7E" w:rsidRPr="00D73E7E" w:rsidRDefault="00D73E7E" w:rsidP="00D73E7E">
            <w:pPr>
              <w:spacing w:after="0" w:line="240" w:lineRule="auto"/>
              <w:rPr>
                <w:rFonts w:ascii="Times New Roman" w:eastAsia="Times New Roman" w:hAnsi="Times New Roman" w:cs="Times New Roman"/>
                <w:sz w:val="24"/>
                <w:szCs w:val="24"/>
              </w:rPr>
            </w:pPr>
            <w:r w:rsidRPr="00D73E7E">
              <w:rPr>
                <w:rFonts w:ascii="Times New Roman" w:eastAsia="Times New Roman" w:hAnsi="Times New Roman" w:cs="Times New Roman"/>
                <w:sz w:val="24"/>
                <w:szCs w:val="24"/>
              </w:rPr>
              <w:t> </w:t>
            </w:r>
          </w:p>
        </w:tc>
        <w:tc>
          <w:tcPr>
            <w:tcW w:w="305" w:type="pct"/>
            <w:tcBorders>
              <w:top w:val="nil"/>
              <w:left w:val="nil"/>
              <w:bottom w:val="single" w:sz="8" w:space="0" w:color="auto"/>
              <w:right w:val="single" w:sz="8" w:space="0" w:color="auto"/>
            </w:tcBorders>
            <w:shd w:val="clear" w:color="auto" w:fill="auto"/>
            <w:vAlign w:val="center"/>
            <w:hideMark/>
          </w:tcPr>
          <w:p w:rsidR="00D73E7E" w:rsidRPr="00D73E7E" w:rsidRDefault="00D73E7E" w:rsidP="00D73E7E">
            <w:pPr>
              <w:spacing w:after="0" w:line="240" w:lineRule="auto"/>
              <w:jc w:val="right"/>
              <w:rPr>
                <w:rFonts w:ascii="Times New Roman" w:eastAsia="Times New Roman" w:hAnsi="Times New Roman" w:cs="Times New Roman"/>
                <w:b/>
                <w:bCs/>
                <w:sz w:val="24"/>
                <w:szCs w:val="24"/>
              </w:rPr>
            </w:pPr>
            <w:r w:rsidRPr="00D73E7E">
              <w:rPr>
                <w:rFonts w:ascii="Times New Roman" w:eastAsia="Times New Roman" w:hAnsi="Times New Roman" w:cs="Times New Roman"/>
                <w:b/>
                <w:bCs/>
                <w:sz w:val="24"/>
                <w:szCs w:val="24"/>
              </w:rPr>
              <w:t> </w:t>
            </w:r>
          </w:p>
        </w:tc>
      </w:tr>
    </w:tbl>
    <w:p w:rsidR="00F91158" w:rsidRDefault="00F91158">
      <w:pPr>
        <w:tabs>
          <w:tab w:val="left" w:pos="2520"/>
        </w:tabs>
        <w:rPr>
          <w:rFonts w:ascii="Times New Roman" w:eastAsia="Times New Roman" w:hAnsi="Times New Roman" w:cs="Times New Roman"/>
          <w:sz w:val="24"/>
        </w:rPr>
      </w:pPr>
    </w:p>
    <w:p w:rsidR="00D73E7E" w:rsidRDefault="00D73E7E">
      <w:pPr>
        <w:tabs>
          <w:tab w:val="left" w:pos="2520"/>
        </w:tabs>
        <w:rPr>
          <w:rFonts w:ascii="Times New Roman" w:eastAsia="Times New Roman" w:hAnsi="Times New Roman" w:cs="Times New Roman"/>
          <w:sz w:val="24"/>
        </w:rPr>
      </w:pPr>
    </w:p>
    <w:p w:rsidR="00D73E7E" w:rsidRDefault="00D73E7E">
      <w:pPr>
        <w:tabs>
          <w:tab w:val="left" w:pos="2520"/>
        </w:tabs>
        <w:rPr>
          <w:rFonts w:ascii="Times New Roman" w:eastAsia="Times New Roman" w:hAnsi="Times New Roman" w:cs="Times New Roman"/>
          <w:sz w:val="24"/>
        </w:rPr>
      </w:pPr>
    </w:p>
    <w:p w:rsidR="00123D6B" w:rsidRDefault="00123D6B">
      <w:pPr>
        <w:tabs>
          <w:tab w:val="left" w:pos="2520"/>
        </w:tabs>
        <w:rPr>
          <w:rFonts w:ascii="Times New Roman" w:eastAsia="Times New Roman" w:hAnsi="Times New Roman" w:cs="Times New Roman"/>
          <w:sz w:val="24"/>
        </w:rPr>
      </w:pPr>
    </w:p>
    <w:p w:rsidR="00F91158" w:rsidRDefault="001F16EF">
      <w:pPr>
        <w:tabs>
          <w:tab w:val="left" w:pos="2520"/>
        </w:tabs>
        <w:rPr>
          <w:rFonts w:ascii="Times New Roman" w:eastAsia="Times New Roman" w:hAnsi="Times New Roman" w:cs="Times New Roman"/>
          <w:sz w:val="24"/>
        </w:rPr>
      </w:pPr>
      <w:r>
        <w:rPr>
          <w:rFonts w:ascii="Times New Roman" w:eastAsia="Times New Roman" w:hAnsi="Times New Roman" w:cs="Times New Roman"/>
          <w:sz w:val="24"/>
        </w:rPr>
        <w:lastRenderedPageBreak/>
        <w:t>Príloha č. 3</w:t>
      </w:r>
    </w:p>
    <w:p w:rsidR="00F91158" w:rsidRDefault="001F16EF">
      <w:pPr>
        <w:tabs>
          <w:tab w:val="left" w:pos="2520"/>
        </w:tabs>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Rámcová dohoda</w:t>
      </w:r>
    </w:p>
    <w:p w:rsidR="00F91158" w:rsidRDefault="001F16EF">
      <w:pPr>
        <w:tabs>
          <w:tab w:val="left" w:pos="2520"/>
        </w:tabs>
        <w:spacing w:after="0" w:line="276" w:lineRule="auto"/>
        <w:jc w:val="center"/>
        <w:rPr>
          <w:rFonts w:ascii="Times New Roman" w:eastAsia="Times New Roman" w:hAnsi="Times New Roman" w:cs="Times New Roman"/>
        </w:rPr>
      </w:pPr>
      <w:r>
        <w:rPr>
          <w:rFonts w:ascii="Times New Roman" w:eastAsia="Times New Roman" w:hAnsi="Times New Roman" w:cs="Times New Roman"/>
        </w:rPr>
        <w:t>„</w:t>
      </w:r>
      <w:bookmarkStart w:id="0" w:name="_GoBack"/>
      <w:r w:rsidR="00494DB1" w:rsidRPr="00494DB1">
        <w:rPr>
          <w:rFonts w:ascii="Times New Roman" w:hAnsi="Times New Roman" w:cs="Times New Roman"/>
          <w:b/>
          <w:sz w:val="24"/>
          <w:szCs w:val="24"/>
        </w:rPr>
        <w:t>Živočíšne výrobky, mäso a mäsové výrobky</w:t>
      </w:r>
      <w:bookmarkEnd w:id="0"/>
      <w:r>
        <w:rPr>
          <w:rFonts w:ascii="Times New Roman" w:eastAsia="Times New Roman" w:hAnsi="Times New Roman" w:cs="Times New Roman"/>
        </w:rPr>
        <w:t>“</w:t>
      </w:r>
    </w:p>
    <w:p w:rsidR="00F91158" w:rsidRDefault="001F16EF">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(ďalej len „zmluva“)</w:t>
      </w:r>
    </w:p>
    <w:p w:rsidR="00F91158" w:rsidRDefault="001F16EF">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uzatvorená  podľa § 269 ods. 2 a § 409 Obchodného zákonníka, zákon č. 513/1991 Zb.</w:t>
      </w:r>
    </w:p>
    <w:p w:rsidR="00F91158" w:rsidRDefault="001F16EF">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v znení neskorších predpisov medzi týmito zmluvnými stranami</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kupujúci</w:t>
      </w:r>
      <w:r>
        <w:rPr>
          <w:rFonts w:ascii="Times New Roman" w:eastAsia="Times New Roman" w:hAnsi="Times New Roman" w:cs="Times New Roman"/>
        </w:rPr>
        <w:t>:</w:t>
      </w:r>
    </w:p>
    <w:p w:rsidR="00F91158" w:rsidRDefault="001F16EF">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Názov: </w:t>
      </w:r>
      <w:r>
        <w:rPr>
          <w:rFonts w:ascii="Times New Roman" w:eastAsia="Times New Roman" w:hAnsi="Times New Roman" w:cs="Times New Roman"/>
          <w:sz w:val="24"/>
        </w:rPr>
        <w:t xml:space="preserve">Stredná odborná škola obchodu a služieb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So sídlom: Stavbárska 11, 036 80 Martin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Zastúpená: </w:t>
      </w:r>
      <w:r w:rsidR="00D73E7E">
        <w:rPr>
          <w:rFonts w:ascii="Times New Roman" w:eastAsia="Times New Roman" w:hAnsi="Times New Roman" w:cs="Times New Roman"/>
        </w:rPr>
        <w:t>Mgr. Danka Černáková</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 00158550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 2020603035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r w:rsidR="009F55FE">
        <w:rPr>
          <w:rFonts w:ascii="Times New Roman" w:eastAsia="Times New Roman" w:hAnsi="Times New Roman" w:cs="Times New Roman"/>
        </w:rPr>
        <w:t>tothova</w:t>
      </w:r>
      <w:r>
        <w:rPr>
          <w:rFonts w:ascii="Times New Roman" w:eastAsia="Times New Roman" w:hAnsi="Times New Roman" w:cs="Times New Roman"/>
        </w:rPr>
        <w:t>@so</w:t>
      </w:r>
      <w:r w:rsidR="009F55FE">
        <w:rPr>
          <w:rFonts w:ascii="Times New Roman" w:eastAsia="Times New Roman" w:hAnsi="Times New Roman" w:cs="Times New Roman"/>
        </w:rPr>
        <w:t>s</w:t>
      </w:r>
      <w:r>
        <w:rPr>
          <w:rFonts w:ascii="Times New Roman" w:eastAsia="Times New Roman" w:hAnsi="Times New Roman" w:cs="Times New Roman"/>
        </w:rPr>
        <w:t xml:space="preserve">mt.sk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(ďalej aj len ako „</w:t>
      </w:r>
      <w:r>
        <w:rPr>
          <w:rFonts w:ascii="Times New Roman" w:eastAsia="Times New Roman" w:hAnsi="Times New Roman" w:cs="Times New Roman"/>
          <w:b/>
        </w:rPr>
        <w:t>Kupujúci</w:t>
      </w:r>
      <w:r>
        <w:rPr>
          <w:rFonts w:ascii="Times New Roman" w:eastAsia="Times New Roman" w:hAnsi="Times New Roman" w:cs="Times New Roman"/>
        </w:rPr>
        <w:t>“)</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b/>
        </w:rPr>
        <w:t>predávajúci</w:t>
      </w:r>
      <w:r>
        <w:rPr>
          <w:rFonts w:ascii="Times New Roman" w:eastAsia="Times New Roman" w:hAnsi="Times New Roman" w:cs="Times New Roman"/>
        </w:rPr>
        <w:t>:</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Obchodné meno:</w:t>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Sídlo: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DIČ:</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IČ DPH: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obchodná spoločnosť je zapísaná v OR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Oddiel: .... vložka č.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Menom spoločnosti koná: </w:t>
      </w:r>
      <w:r>
        <w:rPr>
          <w:rFonts w:ascii="Times New Roman" w:eastAsia="Times New Roman" w:hAnsi="Times New Roman" w:cs="Times New Roman"/>
        </w:rPr>
        <w:tab/>
      </w:r>
      <w:r>
        <w:rPr>
          <w:rFonts w:ascii="Times New Roman" w:eastAsia="Times New Roman" w:hAnsi="Times New Roman" w:cs="Times New Roman"/>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Bankové spojenie:</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IBAN:</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BIC:</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Kontaktná osoba:</w:t>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Tel.: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Mobil: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E-mail:</w:t>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r>
        <w:rPr>
          <w:rFonts w:ascii="Times New Roman" w:eastAsia="Times New Roman" w:hAnsi="Times New Roman" w:cs="Times New Roman"/>
          <w:spacing w:val="-5"/>
        </w:rPr>
        <w:tab/>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(ďalej aj len ako „</w:t>
      </w:r>
      <w:r>
        <w:rPr>
          <w:rFonts w:ascii="Times New Roman" w:eastAsia="Times New Roman" w:hAnsi="Times New Roman" w:cs="Times New Roman"/>
          <w:b/>
        </w:rPr>
        <w:t>Predávajúci</w:t>
      </w:r>
      <w:r>
        <w:rPr>
          <w:rFonts w:ascii="Times New Roman" w:eastAsia="Times New Roman" w:hAnsi="Times New Roman" w:cs="Times New Roman"/>
        </w:rPr>
        <w:t>“)</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sidR="009F55FE">
        <w:rPr>
          <w:rFonts w:ascii="Times New Roman" w:hAnsi="Times New Roman" w:cs="Times New Roman"/>
          <w:sz w:val="24"/>
          <w:szCs w:val="24"/>
        </w:rPr>
        <w:t>Živočíšne výrobky, mäso a mäsové výrobky</w:t>
      </w:r>
      <w:r>
        <w:rPr>
          <w:rFonts w:ascii="Times New Roman" w:eastAsia="Times New Roman" w:hAnsi="Times New Roman" w:cs="Times New Roman"/>
        </w:rPr>
        <w:t xml:space="preserve">“,  ktorej víťazom sa stal predávajúci.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Predmet zmluvy</w:t>
      </w:r>
    </w:p>
    <w:p w:rsidR="00F91158" w:rsidRDefault="001F16EF">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1.1 Účelom tejto zmluvy je ustanoviť rámcové zmluvné podmienky pre uzatváranie čiastkových objednávok (ďalej len „objednávok“) medzi predávajúcim a kupujúcim, s cieľom zabezpečiť opakovanú a kontinuálnu dodávku potravín pre</w:t>
      </w:r>
      <w:r w:rsidR="00990094">
        <w:rPr>
          <w:rFonts w:ascii="Times New Roman" w:eastAsia="Times New Roman" w:hAnsi="Times New Roman" w:cs="Times New Roman"/>
        </w:rPr>
        <w:t xml:space="preserve"> Strednú odbornú školu obchodu a služieb, Martin </w:t>
      </w:r>
      <w:r>
        <w:rPr>
          <w:rFonts w:ascii="Times New Roman" w:eastAsia="Times New Roman" w:hAnsi="Times New Roman" w:cs="Times New Roman"/>
        </w:rPr>
        <w:t xml:space="preserve">v závislosti od požiadaviek a potrieb kupujúceho, za podmienok ustanovených touto zmluvou a jednotlivými  objednávkami.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5E4615">
        <w:rPr>
          <w:rFonts w:ascii="Times New Roman" w:eastAsia="Times New Roman" w:hAnsi="Times New Roman" w:cs="Times New Roman"/>
        </w:rPr>
        <w:t>2</w:t>
      </w:r>
      <w:r>
        <w:rPr>
          <w:rFonts w:ascii="Times New Roman" w:eastAsia="Times New Roman" w:hAnsi="Times New Roman" w:cs="Times New Roman"/>
        </w:rPr>
        <w:t xml:space="preserve"> „ Zoznam tovaru –</w:t>
      </w:r>
      <w:r w:rsidRPr="001F16EF">
        <w:rPr>
          <w:rFonts w:ascii="Times New Roman" w:hAnsi="Times New Roman" w:cs="Times New Roman"/>
          <w:b/>
          <w:sz w:val="24"/>
          <w:szCs w:val="24"/>
        </w:rPr>
        <w:t xml:space="preserve"> </w:t>
      </w:r>
      <w:r w:rsidRPr="001F16EF">
        <w:rPr>
          <w:rFonts w:ascii="Times New Roman" w:hAnsi="Times New Roman" w:cs="Times New Roman"/>
          <w:sz w:val="24"/>
          <w:szCs w:val="24"/>
        </w:rPr>
        <w:t>„</w:t>
      </w:r>
      <w:r w:rsidR="009F55FE">
        <w:rPr>
          <w:rFonts w:ascii="Times New Roman" w:hAnsi="Times New Roman" w:cs="Times New Roman"/>
          <w:sz w:val="24"/>
          <w:szCs w:val="24"/>
        </w:rPr>
        <w:t xml:space="preserve">Živočíšne výrobky, mäso a mäsové výrobky“ </w:t>
      </w:r>
      <w:r>
        <w:rPr>
          <w:rFonts w:ascii="Times New Roman" w:eastAsia="Times New Roman" w:hAnsi="Times New Roman" w:cs="Times New Roman"/>
        </w:rPr>
        <w:t>tejto zmluvy (ďalej len „tovar“).</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1.5 V prípade ak predávajúci poruší zásadu čerstvosti a kvality dodaného tovaru, kupujúci tento nepreberie a bude to považovať za hrubé porušenie zmluvy.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1.7 Kupujúci  je oprávnený v  objednávke objednať aj taký tovar, ktorý nie je uvedené v Prílohe č. 2 k tejto zmluve alebo iný druh tovaru na základe zmenených požiadaviek na výživové a nutričné hodnoty stravy pre klientov.</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1.8 Predávajúci sa zaväzuje počas celého trvania tejto zmluvy mať v obchodnej ponuke a k dispozícii pre kupujúceho celý sortiment tovaru podľa Prílohy č. 2 tejto zmluvy.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1.9 Zmluvné strany sa dohodli, že rozsah a množstvo tovaru uvedené v Prílohe č.2 k tejto zmluve je len orientačné a skutočne odobrané množstvo sa bude odvíjať od skutočných potrieb kupujúceho po dobu trvania tejto zmluvy.</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Dodacie podmienky</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2.1 Predávajúci sa zaväzuje dodávať kupujúcemu tovar podľa článku I. tejto zmluvy priebežne počas platnosti tejto zmluvy do miesta dodania tovaru na základe rozhodnutia zodpovednej osoby, ktoré uvedie v čiastkovej písomnej alebo telefonickej objednávke, termín a čas doručenia tovaru. Spolu s tovarom bude doručený dodací list.</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hlbokozmrazených potravín a ich </w:t>
      </w:r>
      <w:r>
        <w:rPr>
          <w:rFonts w:ascii="Times New Roman" w:eastAsia="Times New Roman" w:hAnsi="Times New Roman" w:cs="Times New Roman"/>
        </w:rPr>
        <w:lastRenderedPageBreak/>
        <w:t xml:space="preserve">uvádzanie na trh v Slovenskej republike, resp. uvádzanie na trh a vývoz do členských štátov Európskej únie. </w:t>
      </w:r>
    </w:p>
    <w:p w:rsidR="001F16EF" w:rsidRDefault="001F16EF">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III.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Kúpna cena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3.1 Kúpna cena je stanovená podľa zákona NR SR 18/1996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xml:space="preserve">. o cenách v znení neskorších predpisov a vyhlášky MF SR č. 87/1996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xml:space="preserve">., ktorou sa vykonáva zákon NR SR č. 18/1996 </w:t>
      </w:r>
      <w:proofErr w:type="spellStart"/>
      <w:r>
        <w:rPr>
          <w:rFonts w:ascii="Times New Roman" w:eastAsia="Times New Roman" w:hAnsi="Times New Roman" w:cs="Times New Roman"/>
        </w:rPr>
        <w:t>Z.z</w:t>
      </w:r>
      <w:proofErr w:type="spellEnd"/>
      <w:r>
        <w:rPr>
          <w:rFonts w:ascii="Times New Roman" w:eastAsia="Times New Roman" w:hAnsi="Times New Roman" w:cs="Times New Roman"/>
        </w:rPr>
        <w:t>. o cenách v znení neskorších predpisov.</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3.2 Kúpna cena tovaru  bez DPH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Výška DPH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tovaru s DPH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Kúpna cena je stanovená vrátane DPH, obalu, dopravy do miesta plnenia, cla, dovoznej prirážky a ďalších nákladov spojených s dodávkou tovaru na miesto určenia.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3.3 Cenu tovaru je možné meniť písomnou dohodou zmluvných strán, ak dôjde k zmene zákonných podmienok pre výpočet DPH a iných administratívnych opatrení štátu.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F91158" w:rsidRPr="005E4615"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5">
        <w:r w:rsidRPr="005E4615">
          <w:rPr>
            <w:rFonts w:ascii="Times New Roman" w:eastAsia="Times New Roman" w:hAnsi="Times New Roman" w:cs="Times New Roman"/>
            <w:u w:val="single"/>
          </w:rPr>
          <w:t>www.apa.sk</w:t>
        </w:r>
      </w:hyperlink>
      <w:r w:rsidRPr="005E4615">
        <w:rPr>
          <w:rFonts w:ascii="Times New Roman" w:eastAsia="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6">
        <w:r w:rsidRPr="005E4615">
          <w:rPr>
            <w:rFonts w:ascii="Times New Roman" w:eastAsia="Times New Roman" w:hAnsi="Times New Roman" w:cs="Times New Roman"/>
            <w:u w:val="single"/>
          </w:rPr>
          <w:t>www.apa.sk</w:t>
        </w:r>
      </w:hyperlink>
      <w:r w:rsidRPr="005E4615">
        <w:rPr>
          <w:rFonts w:ascii="Times New Roman" w:eastAsia="Times New Roman" w:hAnsi="Times New Roman" w:cs="Times New Roman"/>
        </w:rPr>
        <w:t xml:space="preserve">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IV.</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Platobné podmienky</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4.1 Predmetom fakturácie bude len skutočne objednaný, dodaný a kupujúcim prebraný druh tovaru podľa nevyhnutnej potreby kupujúceho počas trvania zmluvy.</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Článok č. V.</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Možnosť odmietnutia tovaru</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Zodpovednosť za vady a akosť tovarov</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w:t>
      </w:r>
      <w:r w:rsidR="009F55FE">
        <w:rPr>
          <w:rFonts w:ascii="Times New Roman" w:eastAsia="Times New Roman" w:hAnsi="Times New Roman" w:cs="Times New Roman"/>
        </w:rPr>
        <w:t xml:space="preserve"> </w:t>
      </w:r>
      <w:r>
        <w:rPr>
          <w:rFonts w:ascii="Times New Roman" w:eastAsia="Times New Roman" w:hAnsi="Times New Roman" w:cs="Times New Roman"/>
        </w:rPr>
        <w:t>z. o potravinách v znení neskorších predpisov a Vyhláškam v súlade s Potravinovým kódexom SR.</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6.4 Ak kupujúci zistí zjavné vady  pri dodaní tovaru vrátane vád súvisiacich s kvalitou tovaru, má právo ho odmietnuť t.</w:t>
      </w:r>
      <w:r w:rsidR="009F55FE">
        <w:rPr>
          <w:rFonts w:ascii="Times New Roman" w:eastAsia="Times New Roman" w:hAnsi="Times New Roman" w:cs="Times New Roman"/>
        </w:rPr>
        <w:t xml:space="preserve"> </w:t>
      </w:r>
      <w:r>
        <w:rPr>
          <w:rFonts w:ascii="Times New Roman" w:eastAsia="Times New Roman" w:hAnsi="Times New Roman" w:cs="Times New Roman"/>
        </w:rPr>
        <w:t xml:space="preserve">j. neprevziať, a to v takom množstve a rozsahu, na aké sa táto vada vzťahuje, tým, že si voči predávajúcemu uplatní reklamáciu ihneď i s odôvodnením.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6.6 Predávajúci je povinný vysporiadať reklamáciu vád zjavných a vád akosti ihneď. Reklamáciu skrytých vád tovaru je predávajúci povinný vysporiadať do 24 hodín odo dňa prijatia reklamácie.</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6.7 Predávajúci je povinný písomne sa vyjadriť k reklamácii najneskôr do 3 dní po jej doručení. Ak sa v tejto lehote nevyjadrí, znamená to, že súhlasí s opodstatnenosťou reklamácie.</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6.8 V ostatných prípadoch, neupravených touto zmluvou, sa budú zmluvné strany riadiť ustanoveniami § 422 a </w:t>
      </w:r>
      <w:proofErr w:type="spellStart"/>
      <w:r>
        <w:rPr>
          <w:rFonts w:ascii="Times New Roman" w:eastAsia="Times New Roman" w:hAnsi="Times New Roman" w:cs="Times New Roman"/>
        </w:rPr>
        <w:t>nasl</w:t>
      </w:r>
      <w:proofErr w:type="spellEnd"/>
      <w:r>
        <w:rPr>
          <w:rFonts w:ascii="Times New Roman" w:eastAsia="Times New Roman" w:hAnsi="Times New Roman" w:cs="Times New Roman"/>
        </w:rPr>
        <w:t xml:space="preserve">. Obchodného zákonníka, ktoré upravujú nároky zo zodpovednosti za vady tovaru.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Sankcie</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7.2 V prípade omeškania kupujúceho s uhradením faktúry, je predávajúci oprávnený účtovať kupujúcemu zmluvnú pokutu vo výške 0,05 % z dlžnej sumy za každý deň omeškania.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7.3 Zaplatenie zmluvnej pokuty nezbavuje predávajúceho povinnosti dodať tovar alebo doklady podľa tejto zmluvy.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1F16EF" w:rsidRDefault="001F16EF">
      <w:pPr>
        <w:spacing w:after="0" w:line="276" w:lineRule="auto"/>
        <w:jc w:val="center"/>
        <w:rPr>
          <w:rFonts w:ascii="Times New Roman" w:eastAsia="Times New Roman" w:hAnsi="Times New Roman" w:cs="Times New Roman"/>
          <w:b/>
        </w:rPr>
      </w:pPr>
    </w:p>
    <w:p w:rsidR="001F16EF" w:rsidRDefault="001F16EF">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č. VIII.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Doba platnosti a skončenie zmluvy</w:t>
      </w:r>
    </w:p>
    <w:p w:rsidR="00F91158" w:rsidRDefault="001F16EF">
      <w:pPr>
        <w:spacing w:after="0" w:line="276" w:lineRule="auto"/>
        <w:jc w:val="both"/>
        <w:rPr>
          <w:rFonts w:ascii="Times New Roman" w:eastAsia="Times New Roman" w:hAnsi="Times New Roman" w:cs="Times New Roman"/>
          <w:b/>
        </w:rPr>
      </w:pPr>
      <w:r>
        <w:rPr>
          <w:rFonts w:ascii="Times New Roman" w:eastAsia="Times New Roman" w:hAnsi="Times New Roman" w:cs="Times New Roman"/>
        </w:rPr>
        <w:t xml:space="preserve">8.1 Zmluva sa uzatvára na dobu určitú a to na 12 mesiacov odo dňa nadobudnutia jej účinnosti alebo do vyčerpania kúpnej ceny, podľa toho, ktorá skutočnosť nastane skôr. Opakované plnenie bude zabezpečované na základe čiastkových objednávok.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8.2 Zmluva nadobúda platnosť dňom podpísania obidvoma zmluvnými stranami a účinnosť dňom nasledujúcim po dni jej zverejnenia na webovom sídle kupujúceho v zmysle Občianskeho zákonníka v spojení so zákonom č. 211/2000 Z.</w:t>
      </w:r>
      <w:r w:rsidR="009F55FE">
        <w:rPr>
          <w:rFonts w:ascii="Times New Roman" w:eastAsia="Times New Roman" w:hAnsi="Times New Roman" w:cs="Times New Roman"/>
        </w:rPr>
        <w:t xml:space="preserve"> </w:t>
      </w:r>
      <w:r>
        <w:rPr>
          <w:rFonts w:ascii="Times New Roman" w:eastAsia="Times New Roman" w:hAnsi="Times New Roman" w:cs="Times New Roman"/>
        </w:rPr>
        <w:t xml:space="preserve">z. o slobodnom prístupe k informáciám a o zmene a doplnení niektorých zákonov v znení neskorších predpisov.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8.6 Odstúpenie od zmluvy nemá vplyv na nárok na náhradu škody vzniknutej porušením zmluvy a nároku na zmluvnú pokutu. </w:t>
      </w:r>
    </w:p>
    <w:p w:rsidR="005E4615" w:rsidRDefault="005E4615">
      <w:pPr>
        <w:spacing w:after="0" w:line="276" w:lineRule="auto"/>
        <w:jc w:val="center"/>
        <w:rPr>
          <w:rFonts w:ascii="Times New Roman" w:eastAsia="Times New Roman" w:hAnsi="Times New Roman" w:cs="Times New Roman"/>
          <w:b/>
        </w:rPr>
      </w:pPr>
    </w:p>
    <w:p w:rsidR="005E4615" w:rsidRDefault="005E4615">
      <w:pPr>
        <w:spacing w:after="0" w:line="276" w:lineRule="auto"/>
        <w:jc w:val="center"/>
        <w:rPr>
          <w:rFonts w:ascii="Times New Roman" w:eastAsia="Times New Roman" w:hAnsi="Times New Roman" w:cs="Times New Roman"/>
          <w:b/>
        </w:rPr>
      </w:pP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Článok XI.</w:t>
      </w:r>
    </w:p>
    <w:p w:rsidR="00F91158" w:rsidRDefault="001F16EF">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Záverečné ustanovenia</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9.1 Otázky a vzťahy, ktoré nie sú touto zmluvou osobitne upravené sa spravujú ustanoveniami Obchodného zákonníka a iných všeobecne záväzných právnych predpisov.</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9.2 Túto Zmluvu je možné meniť a dopĺňať iba písomnými očíslovanými dodatkami na základe dohody zmluvných strán. </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9.3 Táto zmluva bola vyhotovená v štyroch originálnych vyhotoveniach, z ktorých jedno je určené pre predávajúceho a tri pre kupujúceho.</w:t>
      </w: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F91158" w:rsidRDefault="00F91158">
      <w:pPr>
        <w:spacing w:after="0" w:line="276" w:lineRule="auto"/>
        <w:jc w:val="both"/>
        <w:rPr>
          <w:rFonts w:ascii="Times New Roman" w:eastAsia="Times New Roman" w:hAnsi="Times New Roman" w:cs="Times New Roman"/>
        </w:rPr>
      </w:pPr>
    </w:p>
    <w:p w:rsidR="00F91158" w:rsidRPr="001F16EF"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Príloha č. 1 Návrh na plnenie kritérií   „</w:t>
      </w:r>
      <w:r w:rsidR="009F55FE">
        <w:rPr>
          <w:rFonts w:ascii="Times New Roman" w:hAnsi="Times New Roman" w:cs="Times New Roman"/>
          <w:sz w:val="24"/>
          <w:szCs w:val="24"/>
        </w:rPr>
        <w:t>Živočíšne výrobky, mäso a mäsové výrobky</w:t>
      </w:r>
      <w:r w:rsidRPr="001F16EF">
        <w:rPr>
          <w:rFonts w:ascii="Times New Roman" w:eastAsia="Times New Roman" w:hAnsi="Times New Roman" w:cs="Times New Roman"/>
        </w:rPr>
        <w:t xml:space="preserve">“ </w:t>
      </w:r>
    </w:p>
    <w:p w:rsidR="00F91158" w:rsidRPr="001F16EF" w:rsidRDefault="00F91158">
      <w:pPr>
        <w:spacing w:after="0" w:line="276" w:lineRule="auto"/>
        <w:jc w:val="both"/>
        <w:rPr>
          <w:rFonts w:ascii="Times New Roman" w:eastAsia="Times New Roman" w:hAnsi="Times New Roman" w:cs="Times New Roman"/>
        </w:rPr>
      </w:pPr>
    </w:p>
    <w:p w:rsidR="00F91158" w:rsidRPr="001F16EF" w:rsidRDefault="00F91158">
      <w:pPr>
        <w:spacing w:after="0" w:line="276" w:lineRule="auto"/>
        <w:jc w:val="both"/>
        <w:rPr>
          <w:rFonts w:ascii="Times New Roman" w:eastAsia="Times New Roman" w:hAnsi="Times New Roman" w:cs="Times New Roman"/>
        </w:rPr>
      </w:pPr>
    </w:p>
    <w:p w:rsidR="00F91158" w:rsidRDefault="00F91158">
      <w:pPr>
        <w:spacing w:after="0" w:line="276" w:lineRule="auto"/>
        <w:jc w:val="both"/>
        <w:rPr>
          <w:rFonts w:ascii="Times New Roman" w:eastAsia="Times New Roman" w:hAnsi="Times New Roman" w:cs="Times New Roman"/>
        </w:rPr>
      </w:pPr>
    </w:p>
    <w:p w:rsidR="00F91158" w:rsidRDefault="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V............................., dňa: ................................              V ............................, dňa: ..................................</w:t>
      </w:r>
    </w:p>
    <w:p w:rsidR="00F91158" w:rsidRDefault="00F91158">
      <w:pPr>
        <w:spacing w:after="0" w:line="276" w:lineRule="auto"/>
        <w:jc w:val="both"/>
        <w:rPr>
          <w:rFonts w:ascii="Times New Roman" w:eastAsia="Times New Roman" w:hAnsi="Times New Roman" w:cs="Times New Roman"/>
        </w:rPr>
      </w:pPr>
    </w:p>
    <w:p w:rsidR="00F91158" w:rsidRDefault="00F91158">
      <w:pPr>
        <w:spacing w:after="0" w:line="276" w:lineRule="auto"/>
        <w:jc w:val="both"/>
        <w:rPr>
          <w:rFonts w:ascii="Times New Roman" w:eastAsia="Times New Roman" w:hAnsi="Times New Roman" w:cs="Times New Roman"/>
        </w:rPr>
      </w:pPr>
    </w:p>
    <w:p w:rsidR="005E4615" w:rsidRDefault="005E4615" w:rsidP="001F16EF">
      <w:pPr>
        <w:spacing w:after="0" w:line="276" w:lineRule="auto"/>
        <w:jc w:val="both"/>
        <w:rPr>
          <w:rFonts w:ascii="Times New Roman" w:eastAsia="Times New Roman" w:hAnsi="Times New Roman" w:cs="Times New Roman"/>
        </w:rPr>
      </w:pPr>
    </w:p>
    <w:p w:rsidR="005E4615" w:rsidRDefault="005E4615" w:rsidP="001F16EF">
      <w:pPr>
        <w:spacing w:after="0" w:line="276" w:lineRule="auto"/>
        <w:jc w:val="both"/>
        <w:rPr>
          <w:rFonts w:ascii="Times New Roman" w:eastAsia="Times New Roman" w:hAnsi="Times New Roman" w:cs="Times New Roman"/>
        </w:rPr>
      </w:pPr>
    </w:p>
    <w:p w:rsidR="005E4615" w:rsidRDefault="005E4615" w:rsidP="001F16EF">
      <w:pPr>
        <w:spacing w:after="0" w:line="276" w:lineRule="auto"/>
        <w:jc w:val="both"/>
        <w:rPr>
          <w:rFonts w:ascii="Times New Roman" w:eastAsia="Times New Roman" w:hAnsi="Times New Roman" w:cs="Times New Roman"/>
        </w:rPr>
      </w:pPr>
    </w:p>
    <w:p w:rsidR="005E4615" w:rsidRDefault="005E4615" w:rsidP="001F16EF">
      <w:pPr>
        <w:spacing w:after="0" w:line="276" w:lineRule="auto"/>
        <w:jc w:val="both"/>
        <w:rPr>
          <w:rFonts w:ascii="Times New Roman" w:eastAsia="Times New Roman" w:hAnsi="Times New Roman" w:cs="Times New Roman"/>
        </w:rPr>
      </w:pPr>
    </w:p>
    <w:p w:rsidR="005E4615" w:rsidRDefault="005E4615" w:rsidP="001F16EF">
      <w:pPr>
        <w:spacing w:after="0" w:line="276" w:lineRule="auto"/>
        <w:jc w:val="both"/>
        <w:rPr>
          <w:rFonts w:ascii="Times New Roman" w:eastAsia="Times New Roman" w:hAnsi="Times New Roman" w:cs="Times New Roman"/>
        </w:rPr>
      </w:pPr>
    </w:p>
    <w:p w:rsidR="00F91158" w:rsidRDefault="001F16EF" w:rsidP="001F16EF">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 xml:space="preserve"> Kupujúci:                                                             </w:t>
      </w:r>
      <w:r>
        <w:rPr>
          <w:rFonts w:ascii="Times New Roman" w:eastAsia="Times New Roman" w:hAnsi="Times New Roman" w:cs="Times New Roman"/>
        </w:rPr>
        <w:tab/>
        <w:t xml:space="preserve">Predávajúci:         </w:t>
      </w:r>
    </w:p>
    <w:p w:rsidR="001F16EF" w:rsidRPr="001F16EF" w:rsidRDefault="001F16EF" w:rsidP="001F16EF">
      <w:pPr>
        <w:spacing w:after="0" w:line="276" w:lineRule="auto"/>
        <w:jc w:val="both"/>
        <w:rPr>
          <w:rFonts w:ascii="Times New Roman" w:eastAsia="Times New Roman" w:hAnsi="Times New Roman" w:cs="Times New Roman"/>
        </w:rPr>
      </w:pPr>
    </w:p>
    <w:p w:rsidR="00990094" w:rsidRDefault="00990094">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E4615" w:rsidRDefault="005E4615">
      <w:pPr>
        <w:spacing w:line="276" w:lineRule="auto"/>
        <w:jc w:val="both"/>
        <w:rPr>
          <w:rFonts w:ascii="Times New Roman" w:eastAsia="Times New Roman" w:hAnsi="Times New Roman" w:cs="Times New Roman"/>
          <w:sz w:val="20"/>
        </w:rPr>
      </w:pPr>
    </w:p>
    <w:p w:rsidR="005D3100" w:rsidRDefault="005D3100">
      <w:pPr>
        <w:spacing w:line="276" w:lineRule="auto"/>
        <w:jc w:val="both"/>
        <w:rPr>
          <w:rFonts w:ascii="Times New Roman" w:eastAsia="Times New Roman" w:hAnsi="Times New Roman" w:cs="Times New Roman"/>
          <w:sz w:val="20"/>
        </w:rPr>
      </w:pPr>
    </w:p>
    <w:p w:rsidR="00F91158" w:rsidRDefault="001F16EF">
      <w:pPr>
        <w:spacing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Príloha č. 4</w:t>
      </w:r>
    </w:p>
    <w:p w:rsidR="00F91158" w:rsidRDefault="00F91158">
      <w:pPr>
        <w:spacing w:line="276" w:lineRule="auto"/>
        <w:jc w:val="center"/>
        <w:rPr>
          <w:rFonts w:ascii="Times New Roman" w:eastAsia="Times New Roman" w:hAnsi="Times New Roman" w:cs="Times New Roman"/>
          <w:b/>
          <w:sz w:val="20"/>
        </w:rPr>
      </w:pPr>
    </w:p>
    <w:p w:rsidR="00F91158" w:rsidRDefault="001F16EF">
      <w:pPr>
        <w:spacing w:line="276"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VYHLÁSENIA UCHÁDZAČA</w:t>
      </w:r>
    </w:p>
    <w:p w:rsidR="00F91158" w:rsidRDefault="001F16EF">
      <w:pPr>
        <w:spacing w:after="0" w:line="276" w:lineRule="auto"/>
        <w:jc w:val="center"/>
        <w:rPr>
          <w:rFonts w:ascii="Times New Roman" w:eastAsia="Times New Roman" w:hAnsi="Times New Roman" w:cs="Times New Roman"/>
          <w:sz w:val="20"/>
        </w:rPr>
      </w:pPr>
      <w:r>
        <w:rPr>
          <w:rFonts w:ascii="Times New Roman" w:eastAsia="Times New Roman" w:hAnsi="Times New Roman" w:cs="Times New Roman"/>
          <w:sz w:val="20"/>
        </w:rPr>
        <w:t>uchádzač (obchodné meno a sídlo/miesto podnikania uchádzača) .......................................................................................................................................................</w:t>
      </w:r>
    </w:p>
    <w:p w:rsidR="00F91158" w:rsidRDefault="001F16EF">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týmto vyhlasuje, že: </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 xml:space="preserve">je dôkladne oboznámený a súhlasí s podmienkami verejného obstarávania na predmet zákazky </w:t>
      </w:r>
      <w:r w:rsidRPr="001F16EF">
        <w:rPr>
          <w:rFonts w:ascii="Times New Roman" w:eastAsia="Times New Roman" w:hAnsi="Times New Roman" w:cs="Times New Roman"/>
          <w:b/>
          <w:sz w:val="20"/>
          <w:szCs w:val="20"/>
        </w:rPr>
        <w:t>„</w:t>
      </w:r>
      <w:r w:rsidR="005D3100">
        <w:rPr>
          <w:rFonts w:ascii="Times New Roman" w:hAnsi="Times New Roman" w:cs="Times New Roman"/>
          <w:sz w:val="24"/>
          <w:szCs w:val="24"/>
        </w:rPr>
        <w:t>Živočíšne výrobky, mäso a mäsové výrobky</w:t>
      </w:r>
      <w:r w:rsidRPr="001F16EF">
        <w:rPr>
          <w:rFonts w:ascii="Times New Roman" w:eastAsia="Times New Roman" w:hAnsi="Times New Roman" w:cs="Times New Roman"/>
          <w:b/>
          <w:sz w:val="20"/>
          <w:szCs w:val="20"/>
        </w:rPr>
        <w:t>“</w:t>
      </w:r>
      <w:r w:rsidRPr="001F16EF">
        <w:rPr>
          <w:rFonts w:ascii="Times New Roman" w:eastAsia="Times New Roman" w:hAnsi="Times New Roman" w:cs="Times New Roman"/>
          <w:sz w:val="20"/>
          <w:szCs w:val="20"/>
        </w:rPr>
        <w:t>,</w:t>
      </w:r>
      <w:r>
        <w:rPr>
          <w:rFonts w:ascii="Times New Roman" w:eastAsia="Times New Roman" w:hAnsi="Times New Roman" w:cs="Times New Roman"/>
          <w:sz w:val="20"/>
        </w:rPr>
        <w:t xml:space="preserve"> ktoré sú určené vo výzve na predkladanie ponúk, jej prílohách a v iných dokumentoch poskytnutých verejným obstarávateľom v lehote na predkladanie ponúk;</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všetky predložené vyhlásenia, potvrdenia, doklady, dokumenty a údaje uvedené v ponuke sú pravdivé a úplné;</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sz w:val="20"/>
        </w:rPr>
        <w:t>nie je členom skupiny dodávateľov, ktorá ako iný uchádzač predkladá ponuku;</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Pr>
          <w:rFonts w:ascii="Times New Roman" w:eastAsia="Times New Roman" w:hAnsi="Times New Roman" w:cs="Times New Roman"/>
          <w:sz w:val="20"/>
        </w:rPr>
        <w:t>;</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nemá uložený zákaz účasti vo verejnom obstarávaní potvrdený konečným rozhodnutím v Slovenskej republike alebo v štáte sídla, miesta podnikania alebo obvyklého pobytu</w:t>
      </w:r>
      <w:r>
        <w:rPr>
          <w:rFonts w:ascii="Times New Roman" w:eastAsia="Times New Roman" w:hAnsi="Times New Roman" w:cs="Times New Roman"/>
          <w:sz w:val="20"/>
        </w:rPr>
        <w:t>;</w:t>
      </w:r>
      <w:r>
        <w:rPr>
          <w:rFonts w:ascii="Times New Roman" w:eastAsia="Times New Roman" w:hAnsi="Times New Roman" w:cs="Times New Roman"/>
          <w:color w:val="000000"/>
          <w:sz w:val="20"/>
        </w:rPr>
        <w:t xml:space="preserve"> </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Pr>
          <w:rFonts w:ascii="Times New Roman" w:eastAsia="Times New Roman" w:hAnsi="Times New Roman" w:cs="Times New Roman"/>
          <w:sz w:val="20"/>
        </w:rPr>
        <w:t>;</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doklady, ktoré poskytuje v súvislosti s týmto verejným obstarávaním, môže verejný obstarávateľ spracovávať podľa zákona o ochrane osobných údajov v znení neskorších predpisov</w:t>
      </w:r>
      <w:r>
        <w:rPr>
          <w:rFonts w:ascii="Times New Roman" w:eastAsia="Times New Roman" w:hAnsi="Times New Roman" w:cs="Times New Roman"/>
          <w:sz w:val="20"/>
        </w:rPr>
        <w:t>;</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 xml:space="preserve">dáva písomný súhlas </w:t>
      </w:r>
      <w:r>
        <w:rPr>
          <w:rFonts w:ascii="Times New Roman" w:eastAsia="Times New Roman" w:hAnsi="Times New Roman" w:cs="Times New Roman"/>
          <w:sz w:val="20"/>
        </w:rPr>
        <w:t>so spracúvaním osobných údajov po dobu realizácie verejného obstarávania, realizácie zákazky a archivácie dokumentácie k verejnému obstarávaniu zákazky</w:t>
      </w:r>
      <w:r>
        <w:rPr>
          <w:rFonts w:ascii="Times New Roman" w:eastAsia="Times New Roman" w:hAnsi="Times New Roman" w:cs="Times New Roman"/>
          <w:color w:val="000000"/>
          <w:sz w:val="20"/>
        </w:rPr>
        <w:t xml:space="preserve">, </w:t>
      </w:r>
      <w:r>
        <w:rPr>
          <w:rFonts w:ascii="Times New Roman" w:eastAsia="Times New Roman" w:hAnsi="Times New Roman" w:cs="Times New Roman"/>
          <w:sz w:val="20"/>
        </w:rPr>
        <w:t>v zmysle zákona č. 18/2018 Z. z. o ochrane osobných údajov a o zmene a doplnení niektorých zákonov;</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v súvislosti s uvedeným postupom zadávania zákazky:</w:t>
      </w:r>
    </w:p>
    <w:p w:rsidR="00F91158" w:rsidRDefault="001F16EF">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nevyvíjal a nebude vyvíjať voči žiadnej osobe na strane verejného obstarávateľa, ktorá je alebo by mohla byť zainteresovaná v zmysle ustanovení § 23 ods. 3 zákona č. 343/2015 Z. z. o verejnom obstarávaní a o zmene a doplnení niektorých zákonov v platnom znení („zainteresovaná osoba“) akékoľvek aktivity, ktoré by mohli viesť k zvýhodneniu jeho postavenia v súťaži, </w:t>
      </w:r>
    </w:p>
    <w:p w:rsidR="00F91158" w:rsidRDefault="001F16EF">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neposkytol a neposkytne akejkoľvek čo i len potencionálne zainteresovanej osobe priamo alebo nepriamo akúkoľvek finančnú alebo vecnú výhodu ako motiváciu alebo odmenu súvisiacu so zadaním tejto zákazky, </w:t>
      </w:r>
    </w:p>
    <w:p w:rsidR="00F91158" w:rsidRDefault="001F16EF">
      <w:pPr>
        <w:numPr>
          <w:ilvl w:val="0"/>
          <w:numId w:val="1"/>
        </w:numPr>
        <w:spacing w:after="0" w:line="276" w:lineRule="auto"/>
        <w:ind w:left="1077" w:hanging="36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bude bezodkladne informovať verejného obstarávateľa o akejkoľvek situácii, ktorá je považovaná za konflikt záujmov alebo ktorá by mohla viesť ku konfliktu záujmov kedykoľvek v priebehu procesu verejného obstarávania,</w:t>
      </w:r>
    </w:p>
    <w:p w:rsidR="00F91158" w:rsidRDefault="001F16EF">
      <w:pPr>
        <w:numPr>
          <w:ilvl w:val="0"/>
          <w:numId w:val="1"/>
        </w:numPr>
        <w:tabs>
          <w:tab w:val="left" w:pos="-1134"/>
          <w:tab w:val="left" w:pos="993"/>
        </w:tabs>
        <w:spacing w:after="0" w:line="276" w:lineRule="auto"/>
        <w:ind w:left="777" w:hanging="360"/>
        <w:jc w:val="both"/>
        <w:rPr>
          <w:rFonts w:ascii="Times New Roman" w:eastAsia="Times New Roman" w:hAnsi="Times New Roman" w:cs="Times New Roman"/>
          <w:b/>
          <w:sz w:val="20"/>
        </w:rPr>
      </w:pPr>
      <w:r>
        <w:rPr>
          <w:rFonts w:ascii="Times New Roman" w:eastAsia="Times New Roman" w:hAnsi="Times New Roman" w:cs="Times New Roman"/>
          <w:color w:val="000000"/>
          <w:sz w:val="20"/>
        </w:rPr>
        <w:t>dáva písomný súhlas k tomu, že jeho ponuka môže byť poskytnutá Úradu pre verejné obstarávanie, ku kontrole verejného obstarávania.</w:t>
      </w:r>
    </w:p>
    <w:p w:rsidR="00F91158" w:rsidRDefault="00F91158">
      <w:pPr>
        <w:spacing w:line="276" w:lineRule="auto"/>
        <w:jc w:val="both"/>
        <w:rPr>
          <w:rFonts w:ascii="Times New Roman" w:eastAsia="Times New Roman" w:hAnsi="Times New Roman" w:cs="Times New Roman"/>
          <w:sz w:val="20"/>
        </w:rPr>
      </w:pPr>
    </w:p>
    <w:p w:rsidR="00F91158" w:rsidRDefault="00F91158">
      <w:pPr>
        <w:spacing w:line="276" w:lineRule="auto"/>
        <w:jc w:val="both"/>
        <w:rPr>
          <w:rFonts w:ascii="Times New Roman" w:eastAsia="Times New Roman" w:hAnsi="Times New Roman" w:cs="Times New Roman"/>
          <w:sz w:val="20"/>
        </w:rPr>
      </w:pPr>
    </w:p>
    <w:p w:rsidR="00F91158" w:rsidRDefault="001F16EF">
      <w:pPr>
        <w:spacing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V ..................................., dňa ................ </w:t>
      </w:r>
    </w:p>
    <w:p w:rsidR="00F91158" w:rsidRDefault="001F16EF">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rsidR="00F91158" w:rsidRDefault="001F16EF">
      <w:pPr>
        <w:spacing w:after="0" w:line="276" w:lineRule="auto"/>
        <w:ind w:left="4956"/>
        <w:rPr>
          <w:rFonts w:ascii="Times New Roman" w:eastAsia="Times New Roman" w:hAnsi="Times New Roman" w:cs="Times New Roman"/>
          <w:sz w:val="24"/>
        </w:rPr>
      </w:pPr>
      <w:r>
        <w:rPr>
          <w:rFonts w:ascii="Times New Roman" w:eastAsia="Times New Roman" w:hAnsi="Times New Roman" w:cs="Times New Roman"/>
          <w:sz w:val="24"/>
        </w:rPr>
        <w:t>.............................................................</w:t>
      </w:r>
    </w:p>
    <w:p w:rsidR="00F91158" w:rsidRDefault="005E4615">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w:t>
      </w:r>
      <w:r w:rsidR="001F16EF">
        <w:rPr>
          <w:rFonts w:ascii="Times New Roman" w:eastAsia="Times New Roman" w:hAnsi="Times New Roman" w:cs="Times New Roman"/>
          <w:sz w:val="20"/>
        </w:rPr>
        <w:t xml:space="preserve">podpis a pečiatka uchádzača, </w:t>
      </w:r>
    </w:p>
    <w:p w:rsidR="00F91158" w:rsidRDefault="001F16EF">
      <w:pPr>
        <w:spacing w:after="0" w:line="276" w:lineRule="auto"/>
        <w:ind w:left="4956"/>
        <w:rPr>
          <w:rFonts w:ascii="Times New Roman" w:eastAsia="Times New Roman" w:hAnsi="Times New Roman" w:cs="Times New Roman"/>
          <w:sz w:val="20"/>
        </w:rPr>
      </w:pPr>
      <w:r>
        <w:rPr>
          <w:rFonts w:ascii="Times New Roman" w:eastAsia="Times New Roman" w:hAnsi="Times New Roman" w:cs="Times New Roman"/>
          <w:sz w:val="20"/>
        </w:rPr>
        <w:t xml:space="preserve">resp. osoby oprávnenej konať za uchádzača </w:t>
      </w:r>
      <w:r w:rsidR="005E4615">
        <w:rPr>
          <w:rFonts w:ascii="Times New Roman" w:eastAsia="Times New Roman" w:hAnsi="Times New Roman" w:cs="Times New Roman"/>
          <w:sz w:val="20"/>
        </w:rPr>
        <w:t>)</w:t>
      </w:r>
    </w:p>
    <w:p w:rsidR="00F91158" w:rsidRDefault="00F91158">
      <w:pPr>
        <w:rPr>
          <w:rFonts w:ascii="Calibri" w:eastAsia="Calibri" w:hAnsi="Calibri" w:cs="Calibri"/>
        </w:rPr>
      </w:pPr>
    </w:p>
    <w:sectPr w:rsidR="00F91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244A2"/>
    <w:multiLevelType w:val="multilevel"/>
    <w:tmpl w:val="73CCC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91158"/>
    <w:rsid w:val="00123D6B"/>
    <w:rsid w:val="001F16EF"/>
    <w:rsid w:val="00494DB1"/>
    <w:rsid w:val="005D3100"/>
    <w:rsid w:val="005E4615"/>
    <w:rsid w:val="00990094"/>
    <w:rsid w:val="009F55FE"/>
    <w:rsid w:val="00D73E7E"/>
    <w:rsid w:val="00F31524"/>
    <w:rsid w:val="00F911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4EA0"/>
  <w15:docId w15:val="{3D79E29B-7D34-4A0D-85D2-AED11829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3327">
      <w:bodyDiv w:val="1"/>
      <w:marLeft w:val="0"/>
      <w:marRight w:val="0"/>
      <w:marTop w:val="0"/>
      <w:marBottom w:val="0"/>
      <w:divBdr>
        <w:top w:val="none" w:sz="0" w:space="0" w:color="auto"/>
        <w:left w:val="none" w:sz="0" w:space="0" w:color="auto"/>
        <w:bottom w:val="none" w:sz="0" w:space="0" w:color="auto"/>
        <w:right w:val="none" w:sz="0" w:space="0" w:color="auto"/>
      </w:divBdr>
    </w:div>
    <w:div w:id="203307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sk/" TargetMode="External"/><Relationship Id="rId5" Type="http://schemas.openxmlformats.org/officeDocument/2006/relationships/hyperlink" Target="http://www.ap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3231</Words>
  <Characters>18423</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Stredná odborná škola obchodu a služieb Martin</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Tóthová Edita</cp:lastModifiedBy>
  <cp:revision>13</cp:revision>
  <dcterms:created xsi:type="dcterms:W3CDTF">2020-11-12T11:24:00Z</dcterms:created>
  <dcterms:modified xsi:type="dcterms:W3CDTF">2020-12-07T10:49:00Z</dcterms:modified>
</cp:coreProperties>
</file>