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F" w:rsidRPr="00FE204F" w:rsidRDefault="0007543F" w:rsidP="00F67CE6">
      <w:pPr>
        <w:pStyle w:val="Nagwek1"/>
        <w:spacing w:before="0"/>
        <w:ind w:left="0" w:firstLine="0"/>
        <w:rPr>
          <w:rFonts w:ascii="Times New Roman" w:hAnsi="Times New Roman" w:cs="Times New Roman"/>
          <w:color w:val="231F20"/>
          <w:sz w:val="28"/>
          <w:szCs w:val="28"/>
        </w:rPr>
      </w:pPr>
      <w:r w:rsidRPr="00FE204F">
        <w:rPr>
          <w:rFonts w:ascii="Times New Roman" w:hAnsi="Times New Roman" w:cs="Times New Roman"/>
          <w:color w:val="231F20"/>
          <w:sz w:val="28"/>
          <w:szCs w:val="28"/>
        </w:rPr>
        <w:t>Przedmiotowe zasady oceniania z biologii</w:t>
      </w:r>
    </w:p>
    <w:p w:rsidR="00FE204F" w:rsidRDefault="00FE204F" w:rsidP="00F67CE6">
      <w:pPr>
        <w:pStyle w:val="Nagwek1"/>
        <w:spacing w:before="0"/>
        <w:ind w:left="0" w:firstLine="0"/>
        <w:rPr>
          <w:rFonts w:ascii="Times New Roman" w:hAnsi="Times New Roman" w:cs="Times New Roman"/>
          <w:color w:val="231F20"/>
        </w:rPr>
      </w:pPr>
    </w:p>
    <w:p w:rsidR="00CE5C85" w:rsidRPr="00FE204F" w:rsidRDefault="00F160A9" w:rsidP="00F67CE6">
      <w:pPr>
        <w:pStyle w:val="Nagwek1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Formy i zasady bieżącego oceniania</w:t>
      </w:r>
    </w:p>
    <w:p w:rsidR="00CE5C85" w:rsidRPr="00FE204F" w:rsidRDefault="00CE5C85">
      <w:pPr>
        <w:pStyle w:val="Tekstpodstawowy"/>
        <w:spacing w:before="2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395"/>
        <w:gridCol w:w="2261"/>
        <w:gridCol w:w="2430"/>
        <w:gridCol w:w="4120"/>
      </w:tblGrid>
      <w:tr w:rsidR="00CE5C85" w:rsidRPr="00FE204F" w:rsidTr="0007543F">
        <w:trPr>
          <w:trHeight w:val="380"/>
        </w:trPr>
        <w:tc>
          <w:tcPr>
            <w:tcW w:w="10206" w:type="dxa"/>
            <w:gridSpan w:val="4"/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Prace pisemne w klasie</w:t>
            </w:r>
          </w:p>
        </w:tc>
      </w:tr>
      <w:tr w:rsidR="00CE5C85" w:rsidRPr="00FE204F" w:rsidTr="0007543F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444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222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682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Częstotliwość</w:t>
            </w:r>
          </w:p>
        </w:tc>
        <w:tc>
          <w:tcPr>
            <w:tcW w:w="4120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896"/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Zasady przeprowadzania</w:t>
            </w:r>
          </w:p>
        </w:tc>
      </w:tr>
      <w:tr w:rsidR="00CE5C85" w:rsidRPr="00FE204F" w:rsidTr="0007543F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07543F">
            <w:pPr>
              <w:pStyle w:val="TableParagraph"/>
              <w:spacing w:before="55" w:line="235" w:lineRule="auto"/>
              <w:ind w:right="222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Sprawdzian</w:t>
            </w:r>
          </w:p>
          <w:p w:rsidR="0007543F" w:rsidRPr="00FE204F" w:rsidRDefault="0007543F">
            <w:pPr>
              <w:pStyle w:val="TableParagraph"/>
              <w:spacing w:before="55" w:line="235" w:lineRule="auto"/>
              <w:ind w:right="2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(do 35 min)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6" w:line="235" w:lineRule="auto"/>
              <w:ind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 w:rsidP="00FE3765">
            <w:pPr>
              <w:pStyle w:val="TableParagraph"/>
              <w:spacing w:before="56"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przy </w:t>
            </w:r>
            <w:r w:rsidR="00FE3765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h tygodniowo </w:t>
            </w:r>
            <w:r w:rsidR="00FE3765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co najmniej jedna praca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klasow</w:t>
            </w:r>
            <w:r w:rsidR="00FE3765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w półroczu</w:t>
            </w:r>
          </w:p>
        </w:tc>
        <w:tc>
          <w:tcPr>
            <w:tcW w:w="412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zapowiadane przynajmniej </w:t>
            </w:r>
            <w:r w:rsidR="00B23F4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br/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 tygodniowym wyprzedzeniem</w:t>
            </w:r>
          </w:p>
          <w:p w:rsidR="00CE5C85" w:rsidRPr="00FE204F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informacja o pracy klasowej zanotowana wcześniej w dzienniku lekcyjnym</w:t>
            </w:r>
          </w:p>
          <w:p w:rsidR="00CE5C85" w:rsidRPr="00FE204F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pracę klasową poprzedza powtórzenie materiału nauczania</w:t>
            </w:r>
          </w:p>
        </w:tc>
      </w:tr>
      <w:tr w:rsidR="00CE5C85" w:rsidRPr="00FE204F" w:rsidTr="0007543F">
        <w:trPr>
          <w:trHeight w:val="760"/>
        </w:trPr>
        <w:tc>
          <w:tcPr>
            <w:tcW w:w="1395" w:type="dxa"/>
            <w:shd w:val="clear" w:color="auto" w:fill="auto"/>
          </w:tcPr>
          <w:p w:rsidR="0007543F" w:rsidRPr="00FE204F" w:rsidRDefault="0007543F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proofErr w:type="spellStart"/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Kartkowki</w:t>
            </w:r>
            <w:proofErr w:type="spellEnd"/>
          </w:p>
          <w:p w:rsidR="00CE5C85" w:rsidRPr="00FE204F" w:rsidRDefault="00F160A9" w:rsidP="0007543F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(do </w:t>
            </w:r>
            <w:r w:rsidR="0007543F"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</w:t>
            </w: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min)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B23F49" w:rsidP="0007543F">
            <w:pPr>
              <w:pStyle w:val="TableParagraph"/>
              <w:spacing w:line="235" w:lineRule="auto"/>
              <w:ind w:right="515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rzy</w:t>
            </w:r>
            <w:r w:rsidR="00FE3765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h tygodniowo </w:t>
            </w:r>
            <w:r w:rsidR="0007543F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dowolna ilość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07543F" w:rsidP="00FE3765">
            <w:pPr>
              <w:pStyle w:val="TableParagraph"/>
              <w:tabs>
                <w:tab w:val="left" w:pos="222"/>
              </w:tabs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Bez zapowiedzi</w:t>
            </w:r>
          </w:p>
        </w:tc>
      </w:tr>
      <w:tr w:rsidR="00CE5C85" w:rsidRPr="00FE204F" w:rsidTr="0007543F">
        <w:trPr>
          <w:trHeight w:val="380"/>
        </w:trPr>
        <w:tc>
          <w:tcPr>
            <w:tcW w:w="10206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Prace pisemne w</w:t>
            </w:r>
            <w:r w:rsidR="00FE204F"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 xml:space="preserve"> </w:t>
            </w: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domu</w:t>
            </w:r>
          </w:p>
        </w:tc>
      </w:tr>
      <w:tr w:rsidR="00CE5C85" w:rsidRPr="00FE204F" w:rsidTr="0007543F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5" w:line="235" w:lineRule="auto"/>
              <w:ind w:right="1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6" w:line="235" w:lineRule="auto"/>
              <w:ind w:right="281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materiał nauczania </w:t>
            </w:r>
            <w:r w:rsidR="0004172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br/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 bieżącej lekcji lub przygotowanie</w:t>
            </w:r>
          </w:p>
          <w:p w:rsidR="00CE5C85" w:rsidRPr="00FE204F" w:rsidRDefault="00F160A9">
            <w:pPr>
              <w:pStyle w:val="TableParagraph"/>
              <w:spacing w:before="0" w:line="235" w:lineRule="auto"/>
              <w:ind w:righ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E3765" w:rsidP="00FE3765">
            <w:pPr>
              <w:pStyle w:val="TableParagraph"/>
              <w:spacing w:before="56" w:line="235" w:lineRule="auto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rzy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1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h tygodniowo 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jedna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prac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a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w półroczu</w:t>
            </w:r>
          </w:p>
        </w:tc>
        <w:tc>
          <w:tcPr>
            <w:tcW w:w="412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041724" w:rsidP="00041724">
            <w:pPr>
              <w:pStyle w:val="TableParagraph"/>
              <w:tabs>
                <w:tab w:val="left" w:pos="222"/>
              </w:tabs>
              <w:spacing w:before="56" w:line="235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zróżnicowane zadania zgodnie 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 realizowanym materiałem</w:t>
            </w:r>
          </w:p>
        </w:tc>
      </w:tr>
      <w:tr w:rsidR="00CE5C85" w:rsidRPr="00FE204F" w:rsidTr="0007543F">
        <w:trPr>
          <w:trHeight w:val="1460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60" w:line="235" w:lineRule="auto"/>
              <w:ind w:right="8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Prowadzenie zeszytu ćwiczeń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nie mniej niż raz w półroczu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zasady prowadzenia zeszytu ćwiczeń powinny zostać ustalone na pierwszej lekcji</w:t>
            </w:r>
          </w:p>
          <w:p w:rsidR="00CE5C85" w:rsidRPr="00FE204F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ocenie podlega zarówno poprawność merytoryczna rozwiązywanych zadań, jak i estetyka oraz systematyczność</w:t>
            </w:r>
          </w:p>
        </w:tc>
      </w:tr>
      <w:tr w:rsidR="00CE5C85" w:rsidRPr="00FE204F" w:rsidTr="0007543F">
        <w:trPr>
          <w:trHeight w:val="1860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60" w:line="235" w:lineRule="auto"/>
              <w:ind w:right="5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prace badawcze, obserwacje i hodowle wskazane</w:t>
            </w:r>
          </w:p>
          <w:p w:rsidR="00CE5C85" w:rsidRPr="00FE204F" w:rsidRDefault="00F160A9">
            <w:pPr>
              <w:pStyle w:val="TableParagraph"/>
              <w:spacing w:before="0" w:line="202" w:lineRule="exact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podstawie programowej</w:t>
            </w:r>
          </w:p>
          <w:p w:rsidR="00CE5C85" w:rsidRPr="00FE204F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zadania związane</w:t>
            </w:r>
          </w:p>
          <w:p w:rsidR="00CE5C85" w:rsidRPr="00FE204F" w:rsidRDefault="00F160A9">
            <w:pPr>
              <w:pStyle w:val="TableParagraph"/>
              <w:spacing w:before="0" w:line="204" w:lineRule="exact"/>
              <w:ind w:left="221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z projektami edukacyjnymi</w:t>
            </w:r>
          </w:p>
          <w:p w:rsidR="00CE5C85" w:rsidRPr="00FE204F" w:rsidRDefault="00F160A9" w:rsidP="00401374">
            <w:pPr>
              <w:pStyle w:val="TableParagraph"/>
              <w:spacing w:before="2" w:line="235" w:lineRule="auto"/>
              <w:ind w:left="221"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wykonywanie plakatów, prezentacji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multimedialnych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do bieżącego materiału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raz w półroczu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F160A9" w:rsidP="00F67CE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zadania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przeznaczone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do pracy w grupachlub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kierowane do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uczniów szczególnie zainteresowanych biologią</w:t>
            </w:r>
          </w:p>
        </w:tc>
      </w:tr>
      <w:tr w:rsidR="00CE5C85" w:rsidRPr="00FE204F" w:rsidTr="0007543F">
        <w:trPr>
          <w:trHeight w:val="380"/>
        </w:trPr>
        <w:tc>
          <w:tcPr>
            <w:tcW w:w="10206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B8292F"/>
                <w:sz w:val="18"/>
                <w:szCs w:val="18"/>
              </w:rPr>
              <w:t>Odpowiedzi ustne</w:t>
            </w:r>
          </w:p>
        </w:tc>
      </w:tr>
      <w:tr w:rsidR="00CE5C85" w:rsidRPr="00FE204F" w:rsidTr="0007543F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5" w:line="235" w:lineRule="auto"/>
              <w:ind w:right="3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6" w:line="235" w:lineRule="auto"/>
              <w:ind w:righ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minimum jedna w półroczu</w:t>
            </w:r>
          </w:p>
        </w:tc>
        <w:tc>
          <w:tcPr>
            <w:tcW w:w="4120" w:type="dxa"/>
            <w:tcBorders>
              <w:top w:val="single" w:sz="8" w:space="0" w:color="FDB515"/>
            </w:tcBorders>
            <w:shd w:val="clear" w:color="auto" w:fill="auto"/>
          </w:tcPr>
          <w:p w:rsidR="00CE5C85" w:rsidRPr="00FE204F" w:rsidRDefault="00F160A9">
            <w:pPr>
              <w:pStyle w:val="TableParagraph"/>
              <w:spacing w:befor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bez zapowiedzi</w:t>
            </w:r>
          </w:p>
        </w:tc>
      </w:tr>
      <w:tr w:rsidR="00CE5C85" w:rsidRPr="00FE204F" w:rsidTr="0007543F">
        <w:trPr>
          <w:trHeight w:val="860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55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częstotliwość dowolna,</w:t>
            </w:r>
          </w:p>
          <w:p w:rsidR="00CE5C85" w:rsidRPr="00FE204F" w:rsidRDefault="00F160A9">
            <w:pPr>
              <w:pStyle w:val="TableParagraph"/>
              <w:spacing w:before="2" w:line="235" w:lineRule="aut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zależności od predyspozycji uczniów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F160A9" w:rsidP="00401374">
            <w:pPr>
              <w:pStyle w:val="TableParagraph"/>
              <w:spacing w:line="235" w:lineRule="auto"/>
              <w:ind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uc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zniowie sami zgłaszają się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br/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do </w:t>
            </w:r>
            <w:r w:rsidR="00401374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dpowiedzi lub są wyznaczaniprzez nauczyciela</w:t>
            </w:r>
          </w:p>
        </w:tc>
      </w:tr>
      <w:tr w:rsidR="00CE5C85" w:rsidRPr="00FE204F" w:rsidTr="0007543F">
        <w:trPr>
          <w:trHeight w:val="1080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60"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558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352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zależności od metod pracy stosowanych na lekcji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line="235" w:lineRule="auto"/>
              <w:ind w:right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należy zwrócić uwagę na to, aby w kolejnym referowaniu wspólnych prac zmieniały się osoby referujące</w:t>
            </w:r>
          </w:p>
        </w:tc>
      </w:tr>
      <w:tr w:rsidR="00CE5C85" w:rsidRPr="00FE204F" w:rsidTr="00FE204F">
        <w:trPr>
          <w:trHeight w:val="925"/>
        </w:trPr>
        <w:tc>
          <w:tcPr>
            <w:tcW w:w="1395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CE5C85" w:rsidRPr="00FE204F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jedna lub dwie oceny w półroczu</w:t>
            </w:r>
          </w:p>
        </w:tc>
        <w:tc>
          <w:tcPr>
            <w:tcW w:w="4120" w:type="dxa"/>
            <w:shd w:val="clear" w:color="auto" w:fill="auto"/>
          </w:tcPr>
          <w:p w:rsidR="00CE5C85" w:rsidRPr="00FE204F" w:rsidRDefault="0040137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oceniane są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aktywność, zaangażowanie, umiej</w:t>
            </w: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ętność pracy </w:t>
            </w:r>
            <w:r w:rsidR="00F160A9"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grupie lub w parach</w:t>
            </w:r>
          </w:p>
          <w:p w:rsidR="00CE5C85" w:rsidRPr="00FE204F" w:rsidRDefault="00F160A9" w:rsidP="00401374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FE204F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w ocenianiu można uwzględnić ocenę koleżeńską lub samoocenę</w:t>
            </w:r>
          </w:p>
        </w:tc>
      </w:tr>
    </w:tbl>
    <w:p w:rsidR="00CE5C85" w:rsidRPr="00FE204F" w:rsidRDefault="00CE5C85">
      <w:pPr>
        <w:spacing w:line="235" w:lineRule="auto"/>
        <w:rPr>
          <w:rFonts w:ascii="Times New Roman" w:hAnsi="Times New Roman" w:cs="Times New Roman"/>
          <w:sz w:val="18"/>
          <w:szCs w:val="18"/>
        </w:rPr>
        <w:sectPr w:rsidR="00CE5C85" w:rsidRPr="00FE204F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:rsidR="00CE5C85" w:rsidRPr="00FE204F" w:rsidRDefault="00F160A9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lastRenderedPageBreak/>
        <w:t>Pozostałe przedmiotowe zasady oceniania</w:t>
      </w:r>
    </w:p>
    <w:p w:rsidR="00CE5C85" w:rsidRPr="00FE204F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04F">
        <w:rPr>
          <w:rFonts w:ascii="Times New Roman" w:hAnsi="Times New Roman" w:cs="Times New Roman"/>
          <w:b/>
          <w:color w:val="231F20"/>
          <w:sz w:val="20"/>
          <w:szCs w:val="20"/>
        </w:rPr>
        <w:t>Pisemne prace</w:t>
      </w:r>
      <w:r w:rsidR="00D327D6" w:rsidRPr="00FE204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b/>
          <w:color w:val="231F20"/>
          <w:sz w:val="20"/>
          <w:szCs w:val="20"/>
        </w:rPr>
        <w:t>klasowe</w:t>
      </w:r>
    </w:p>
    <w:p w:rsidR="00CE5C85" w:rsidRPr="00FE204F" w:rsidRDefault="00F160A9" w:rsidP="0007543F">
      <w:pPr>
        <w:tabs>
          <w:tab w:val="left" w:pos="593"/>
        </w:tabs>
        <w:spacing w:before="64" w:after="120"/>
        <w:ind w:left="284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Pisemne prace klasowe są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obowiązkowe.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W przypadku nieobecności usprawiedliwionej uczeń musi napisać pracę klasową w </w:t>
      </w:r>
      <w:r w:rsidRPr="00FE204F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ciągu </w:t>
      </w:r>
      <w:r w:rsidR="00C66CDC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dwóch tygodni od daty powrotu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doszkoły.Jeżeli nieobecność jest nieusprawiedliwiona, uczeń przystępuje do pracy klasowej na pierwszej lekcji, na którą przyszedł.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Uczeń ma prawo poprawić 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>sprawdzian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. Obie oceny są wpisywane do dziennika, a pod uwagę jest brana ocena poprawkowa, nawet jeśli jest niższa odpoprawianej.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Sprawdziany</w:t>
      </w:r>
    </w:p>
    <w:p w:rsidR="00CE5C85" w:rsidRPr="00FE204F" w:rsidRDefault="00F160A9">
      <w:pPr>
        <w:pStyle w:val="Tekstpodstawowy"/>
        <w:spacing w:before="64"/>
        <w:ind w:left="337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Nieobecność ucznia na sprawdzianie nie obliguje go do </w:t>
      </w:r>
      <w:r w:rsidR="00EF0662">
        <w:rPr>
          <w:rFonts w:ascii="Times New Roman" w:hAnsi="Times New Roman" w:cs="Times New Roman"/>
          <w:color w:val="231F20"/>
          <w:sz w:val="20"/>
          <w:szCs w:val="20"/>
        </w:rPr>
        <w:t xml:space="preserve">PiS- </w:t>
      </w:r>
      <w:proofErr w:type="spellStart"/>
      <w:r w:rsidRPr="00FE204F">
        <w:rPr>
          <w:rFonts w:ascii="Times New Roman" w:hAnsi="Times New Roman" w:cs="Times New Roman"/>
          <w:color w:val="231F20"/>
          <w:sz w:val="20"/>
          <w:szCs w:val="20"/>
        </w:rPr>
        <w:t>emnego</w:t>
      </w:r>
      <w:proofErr w:type="spellEnd"/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zaliczenia danej partii materiału.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Wymagania na poszczególne oceny szkolne z pracpisemnych</w:t>
      </w:r>
    </w:p>
    <w:p w:rsidR="00A15897" w:rsidRPr="00FE204F" w:rsidRDefault="00A15897" w:rsidP="00A15897">
      <w:pPr>
        <w:pStyle w:val="Tekstpodstawowy"/>
        <w:spacing w:before="64"/>
        <w:ind w:left="284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Od ucznia wymaga się uzyskania następujących wyników na poszczególne oceny:</w:t>
      </w:r>
    </w:p>
    <w:p w:rsidR="00CE5C85" w:rsidRPr="00FE204F" w:rsidRDefault="00D327D6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100</w:t>
      </w:r>
      <w:r w:rsidR="00F160A9" w:rsidRPr="00FE204F">
        <w:rPr>
          <w:rFonts w:ascii="Times New Roman" w:hAnsi="Times New Roman" w:cs="Times New Roman"/>
          <w:sz w:val="20"/>
          <w:szCs w:val="20"/>
        </w:rPr>
        <w:t xml:space="preserve">% – </w:t>
      </w:r>
      <w:r w:rsidR="00EF0662">
        <w:rPr>
          <w:rFonts w:ascii="Times New Roman" w:hAnsi="Times New Roman" w:cs="Times New Roman"/>
          <w:sz w:val="20"/>
          <w:szCs w:val="20"/>
        </w:rPr>
        <w:t xml:space="preserve"> 96% - </w:t>
      </w:r>
      <w:r w:rsidR="00F160A9" w:rsidRPr="00FE204F">
        <w:rPr>
          <w:rFonts w:ascii="Times New Roman" w:hAnsi="Times New Roman" w:cs="Times New Roman"/>
          <w:sz w:val="20"/>
          <w:szCs w:val="20"/>
        </w:rPr>
        <w:t>celujący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D327D6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9</w:t>
      </w:r>
      <w:r w:rsidR="00EF0662">
        <w:rPr>
          <w:rFonts w:ascii="Times New Roman" w:hAnsi="Times New Roman" w:cs="Times New Roman"/>
          <w:sz w:val="20"/>
          <w:szCs w:val="20"/>
        </w:rPr>
        <w:t>5</w:t>
      </w:r>
      <w:r w:rsidR="00F160A9" w:rsidRPr="00FE204F">
        <w:rPr>
          <w:rFonts w:ascii="Times New Roman" w:hAnsi="Times New Roman" w:cs="Times New Roman"/>
          <w:sz w:val="20"/>
          <w:szCs w:val="20"/>
        </w:rPr>
        <w:t>–</w:t>
      </w:r>
      <w:r w:rsidR="00EF0662">
        <w:rPr>
          <w:rFonts w:ascii="Times New Roman" w:hAnsi="Times New Roman" w:cs="Times New Roman"/>
          <w:sz w:val="20"/>
          <w:szCs w:val="20"/>
        </w:rPr>
        <w:t>85</w:t>
      </w:r>
      <w:r w:rsidR="00F160A9" w:rsidRPr="00FE204F">
        <w:rPr>
          <w:rFonts w:ascii="Times New Roman" w:hAnsi="Times New Roman" w:cs="Times New Roman"/>
          <w:sz w:val="20"/>
          <w:szCs w:val="20"/>
        </w:rPr>
        <w:t>% – bardzo dobry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F160A9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8</w:t>
      </w:r>
      <w:r w:rsidR="00EF0662">
        <w:rPr>
          <w:rFonts w:ascii="Times New Roman" w:hAnsi="Times New Roman" w:cs="Times New Roman"/>
          <w:sz w:val="20"/>
          <w:szCs w:val="20"/>
        </w:rPr>
        <w:t>4</w:t>
      </w:r>
      <w:r w:rsidRPr="00FE204F">
        <w:rPr>
          <w:rFonts w:ascii="Times New Roman" w:hAnsi="Times New Roman" w:cs="Times New Roman"/>
          <w:sz w:val="20"/>
          <w:szCs w:val="20"/>
        </w:rPr>
        <w:t>–</w:t>
      </w:r>
      <w:r w:rsidR="00EF0662">
        <w:rPr>
          <w:rFonts w:ascii="Times New Roman" w:hAnsi="Times New Roman" w:cs="Times New Roman"/>
          <w:sz w:val="20"/>
          <w:szCs w:val="20"/>
        </w:rPr>
        <w:t>68</w:t>
      </w:r>
      <w:r w:rsidRPr="00FE204F">
        <w:rPr>
          <w:rFonts w:ascii="Times New Roman" w:hAnsi="Times New Roman" w:cs="Times New Roman"/>
          <w:sz w:val="20"/>
          <w:szCs w:val="20"/>
        </w:rPr>
        <w:t>% – dobry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EF0662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67–50</w:t>
      </w:r>
      <w:r w:rsidR="00F160A9" w:rsidRPr="00FE204F">
        <w:rPr>
          <w:rFonts w:ascii="Times New Roman" w:hAnsi="Times New Roman" w:cs="Times New Roman"/>
          <w:sz w:val="20"/>
          <w:szCs w:val="20"/>
        </w:rPr>
        <w:t>% – dostateczny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EF0662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49</w:t>
      </w:r>
      <w:r w:rsidR="0007543F" w:rsidRPr="00FE204F">
        <w:rPr>
          <w:rFonts w:ascii="Times New Roman" w:hAnsi="Times New Roman" w:cs="Times New Roman"/>
          <w:sz w:val="20"/>
          <w:szCs w:val="20"/>
        </w:rPr>
        <w:t>–3</w:t>
      </w:r>
      <w:r>
        <w:rPr>
          <w:rFonts w:ascii="Times New Roman" w:hAnsi="Times New Roman" w:cs="Times New Roman"/>
          <w:sz w:val="20"/>
          <w:szCs w:val="20"/>
        </w:rPr>
        <w:t>1</w:t>
      </w:r>
      <w:r w:rsidR="00F160A9" w:rsidRPr="00FE204F">
        <w:rPr>
          <w:rFonts w:ascii="Times New Roman" w:hAnsi="Times New Roman" w:cs="Times New Roman"/>
          <w:sz w:val="20"/>
          <w:szCs w:val="20"/>
        </w:rPr>
        <w:t>% – dopuszczający</w:t>
      </w:r>
      <w:r w:rsidR="00A15897" w:rsidRPr="00FE204F">
        <w:rPr>
          <w:rFonts w:ascii="Times New Roman" w:hAnsi="Times New Roman" w:cs="Times New Roman"/>
          <w:sz w:val="20"/>
          <w:szCs w:val="20"/>
        </w:rPr>
        <w:t>,</w:t>
      </w:r>
    </w:p>
    <w:p w:rsidR="00CE5C85" w:rsidRPr="00FE204F" w:rsidRDefault="0007543F" w:rsidP="00F67CE6">
      <w:pPr>
        <w:pStyle w:val="Akapitzlist"/>
        <w:numPr>
          <w:ilvl w:val="0"/>
          <w:numId w:val="12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sz w:val="20"/>
          <w:szCs w:val="20"/>
        </w:rPr>
        <w:t>3</w:t>
      </w:r>
      <w:r w:rsidR="00EF0662">
        <w:rPr>
          <w:rFonts w:ascii="Times New Roman" w:hAnsi="Times New Roman" w:cs="Times New Roman"/>
          <w:sz w:val="20"/>
          <w:szCs w:val="20"/>
        </w:rPr>
        <w:t>0</w:t>
      </w:r>
      <w:r w:rsidR="00F160A9" w:rsidRPr="00FE204F">
        <w:rPr>
          <w:rFonts w:ascii="Times New Roman" w:hAnsi="Times New Roman" w:cs="Times New Roman"/>
          <w:sz w:val="20"/>
          <w:szCs w:val="20"/>
        </w:rPr>
        <w:t>–0% – niedostateczny</w:t>
      </w:r>
      <w:r w:rsidR="00A15897" w:rsidRPr="00FE204F">
        <w:rPr>
          <w:rFonts w:ascii="Times New Roman" w:hAnsi="Times New Roman" w:cs="Times New Roman"/>
          <w:sz w:val="20"/>
          <w:szCs w:val="20"/>
        </w:rPr>
        <w:t>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Odpowiedzi</w:t>
      </w:r>
      <w:r w:rsidR="0020640D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ustne</w:t>
      </w:r>
    </w:p>
    <w:p w:rsidR="00CE5C85" w:rsidRPr="00FE204F" w:rsidRDefault="00F160A9" w:rsidP="00F67CE6">
      <w:pPr>
        <w:pStyle w:val="Akapitzlist"/>
        <w:spacing w:before="64" w:after="120"/>
        <w:ind w:left="284" w:firstLine="0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Przywystawianiuocenyzaodpowiedźustnąnauczycieljestzobowiązanydoudzieleniauczniowiinformacjizwrotnej.</w:t>
      </w:r>
    </w:p>
    <w:p w:rsidR="00CE5C85" w:rsidRPr="00FE204F" w:rsidRDefault="00F160A9" w:rsidP="00F67CE6">
      <w:pPr>
        <w:pStyle w:val="Akapitzlist"/>
        <w:spacing w:after="120" w:line="249" w:lineRule="auto"/>
        <w:ind w:left="284" w:firstLine="0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Uczeń ma prawo być nieprzygotowany do odpowiedzi ustnej bez usprawiedliwienia 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dwa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raz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w półroczu. Nieprzygotowanie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zgłasza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nauczycielowi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przed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lekcją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lub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na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jej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początku,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zanim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nauczyciel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wywoła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go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do</w:t>
      </w:r>
      <w:r w:rsidR="0007543F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odpowiedzi.</w:t>
      </w:r>
    </w:p>
    <w:p w:rsidR="00CE5C85" w:rsidRPr="00FE204F" w:rsidRDefault="00F160A9" w:rsidP="00F67CE6">
      <w:pPr>
        <w:pStyle w:val="Akapitzlist"/>
        <w:tabs>
          <w:tab w:val="left" w:pos="9214"/>
        </w:tabs>
        <w:spacing w:before="0" w:after="120" w:line="249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Kolejne nieprzygotowanie może zgłosić uczeń uczęszczający do dwóch szkół </w:t>
      </w:r>
      <w:r w:rsidRPr="00FE204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(np.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muzycznej), w okresie odbywających się przesłuchań i egzaminów albo reprezentujący szkołę w ważnych konkursach artystycznych lub zawodach sportowych.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Prace domowe</w:t>
      </w:r>
    </w:p>
    <w:p w:rsidR="00CE5C85" w:rsidRPr="00FE204F" w:rsidRDefault="00F160A9" w:rsidP="00F67CE6">
      <w:pPr>
        <w:tabs>
          <w:tab w:val="left" w:pos="593"/>
        </w:tabs>
        <w:spacing w:before="64" w:after="120"/>
        <w:ind w:left="284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Uczeń ma prawo nie wykonać w półroczu </w:t>
      </w:r>
      <w:r w:rsidR="0020640D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dwóch prac,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ale musi ją uzupełnić na następną</w:t>
      </w:r>
      <w:r w:rsidR="0020640D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lekcję.</w:t>
      </w:r>
    </w:p>
    <w:p w:rsidR="00CE5C85" w:rsidRPr="00FE204F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Praca na</w:t>
      </w:r>
      <w:r w:rsidR="00D327D6"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lekcji</w:t>
      </w:r>
    </w:p>
    <w:p w:rsidR="00CE5C85" w:rsidRPr="00FE204F" w:rsidRDefault="00F160A9">
      <w:pPr>
        <w:pStyle w:val="Tekstpodstawowy"/>
        <w:spacing w:before="64"/>
        <w:ind w:left="337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Uczeń może otrzymać ocenę celującą, jeżeli:</w:t>
      </w:r>
    </w:p>
    <w:p w:rsidR="00CE5C85" w:rsidRPr="00FE204F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samodzielnie zaprojektuje i wykona doświadczenie na lekcji lub omówi doświadczenie wykonane wdomu,</w:t>
      </w:r>
    </w:p>
    <w:p w:rsidR="00CE5C85" w:rsidRPr="00FE204F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aktywnie uczestniczy w lekcji z zadawaniem </w:t>
      </w:r>
      <w:r w:rsidRPr="00FE204F">
        <w:rPr>
          <w:rFonts w:ascii="Times New Roman" w:hAnsi="Times New Roman" w:cs="Times New Roman"/>
          <w:color w:val="231F20"/>
          <w:spacing w:val="1"/>
          <w:sz w:val="20"/>
          <w:szCs w:val="20"/>
        </w:rPr>
        <w:t>pytań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aktywnych,</w:t>
      </w:r>
    </w:p>
    <w:p w:rsidR="00CE5C85" w:rsidRPr="00FE204F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przygotuje materiały do lekcjiodwróconej.</w:t>
      </w:r>
    </w:p>
    <w:p w:rsidR="00CE5C85" w:rsidRPr="00FE204F" w:rsidRDefault="00CE5C85">
      <w:pPr>
        <w:pStyle w:val="Tekstpodstawowy"/>
        <w:ind w:left="0"/>
        <w:rPr>
          <w:rFonts w:ascii="Times New Roman" w:hAnsi="Times New Roman" w:cs="Times New Roman"/>
          <w:sz w:val="20"/>
          <w:szCs w:val="20"/>
        </w:rPr>
      </w:pPr>
    </w:p>
    <w:p w:rsidR="00CE5C85" w:rsidRPr="00FE204F" w:rsidRDefault="00F160A9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>Sprawdzenie i ocenianie sumujące postępy ucznia</w:t>
      </w:r>
    </w:p>
    <w:p w:rsidR="00CE5C85" w:rsidRPr="00FE204F" w:rsidRDefault="00F160A9" w:rsidP="00F67CE6">
      <w:pPr>
        <w:pStyle w:val="Tekstpodstawowy"/>
        <w:spacing w:before="61" w:line="249" w:lineRule="auto"/>
        <w:ind w:left="110" w:right="-16"/>
        <w:rPr>
          <w:rFonts w:ascii="Times New Roman" w:hAnsi="Times New Roman" w:cs="Times New Roman"/>
          <w:sz w:val="20"/>
          <w:szCs w:val="20"/>
        </w:rPr>
      </w:pP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Podsumowaniem edukacyjnych osiągnięć ucznia w danym roku szkolnym są </w:t>
      </w:r>
      <w:r w:rsidRPr="00FE204F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ocena śródroczna 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i </w:t>
      </w:r>
      <w:r w:rsidRPr="00FE204F">
        <w:rPr>
          <w:rFonts w:ascii="Times New Roman" w:hAnsi="Times New Roman" w:cs="Times New Roman"/>
          <w:b/>
          <w:color w:val="231F20"/>
          <w:sz w:val="20"/>
          <w:szCs w:val="20"/>
        </w:rPr>
        <w:t>ocena roczna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A15897" w:rsidRPr="00FE204F">
        <w:rPr>
          <w:rFonts w:ascii="Times New Roman" w:hAnsi="Times New Roman" w:cs="Times New Roman"/>
          <w:color w:val="231F20"/>
          <w:sz w:val="20"/>
          <w:szCs w:val="20"/>
        </w:rPr>
        <w:t>Nauczyciel wystawia je</w:t>
      </w:r>
      <w:r w:rsidRPr="00FE204F">
        <w:rPr>
          <w:rFonts w:ascii="Times New Roman" w:hAnsi="Times New Roman" w:cs="Times New Roman"/>
          <w:color w:val="231F20"/>
          <w:sz w:val="20"/>
          <w:szCs w:val="20"/>
        </w:rPr>
        <w:t xml:space="preserve"> po uwzględnieniu wszystkich form aktywności ucznia oraz wagi ocen cząstkowych.</w:t>
      </w:r>
    </w:p>
    <w:p w:rsidR="00CE5C85" w:rsidRPr="00FE204F" w:rsidRDefault="00CE5C85">
      <w:pPr>
        <w:pStyle w:val="Tekstpodstawowy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:rsidR="00CE5C85" w:rsidRPr="00FE204F" w:rsidRDefault="00CE5C85" w:rsidP="00F67CE6">
      <w:pPr>
        <w:spacing w:line="247" w:lineRule="auto"/>
        <w:ind w:left="110" w:right="-16"/>
        <w:jc w:val="both"/>
        <w:rPr>
          <w:rFonts w:asciiTheme="minorHAnsi" w:hAnsiTheme="minorHAnsi"/>
          <w:i/>
          <w:sz w:val="20"/>
          <w:szCs w:val="20"/>
        </w:rPr>
      </w:pPr>
    </w:p>
    <w:sectPr w:rsidR="00CE5C85" w:rsidRPr="00FE204F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526"/>
    <w:multiLevelType w:val="hybridMultilevel"/>
    <w:tmpl w:val="59B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7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9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1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5C85"/>
    <w:rsid w:val="00041724"/>
    <w:rsid w:val="0007543F"/>
    <w:rsid w:val="000D6A11"/>
    <w:rsid w:val="00172FDB"/>
    <w:rsid w:val="0020640D"/>
    <w:rsid w:val="003F03C4"/>
    <w:rsid w:val="00401374"/>
    <w:rsid w:val="004E0598"/>
    <w:rsid w:val="006D38D5"/>
    <w:rsid w:val="007809DC"/>
    <w:rsid w:val="008026B0"/>
    <w:rsid w:val="00817512"/>
    <w:rsid w:val="00904A0E"/>
    <w:rsid w:val="00A15897"/>
    <w:rsid w:val="00B23F49"/>
    <w:rsid w:val="00C66CDC"/>
    <w:rsid w:val="00CA0A0C"/>
    <w:rsid w:val="00CD303F"/>
    <w:rsid w:val="00CE5C85"/>
    <w:rsid w:val="00D00452"/>
    <w:rsid w:val="00D327D6"/>
    <w:rsid w:val="00ED4408"/>
    <w:rsid w:val="00EF0662"/>
    <w:rsid w:val="00F160A9"/>
    <w:rsid w:val="00F67CE6"/>
    <w:rsid w:val="00FE204F"/>
    <w:rsid w:val="00FE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0598"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rsid w:val="004E0598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E0598"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4E0598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4E0598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Mama</cp:lastModifiedBy>
  <cp:revision>6</cp:revision>
  <dcterms:created xsi:type="dcterms:W3CDTF">2017-08-25T10:11:00Z</dcterms:created>
  <dcterms:modified xsi:type="dcterms:W3CDTF">2023-09-02T15:06:00Z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