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70"/>
        </w:tabs>
        <w:spacing w:lineRule="atLeast" w:line="600"/>
        <w:ind w:left="0" w:hanging="0"/>
        <w:rPr>
          <w:rFonts w:ascii="Calibri" w:hAnsi="Calibri" w:cs="AgendaPl Bold" w:asciiTheme="minorHAnsi" w:hAnsiTheme="minorHAnsi"/>
          <w:b/>
          <w:b/>
          <w:bCs/>
          <w:color w:val="FF7F00"/>
          <w:sz w:val="48"/>
          <w:szCs w:val="48"/>
        </w:rPr>
      </w:pPr>
      <w:r>
        <w:rPr/>
      </w:r>
    </w:p>
    <w:p>
      <w:pPr>
        <w:pStyle w:val="Normal"/>
        <w:tabs>
          <w:tab w:val="left" w:pos="170" w:leader="none"/>
          <w:tab w:val="left" w:pos="340" w:leader="none"/>
        </w:tabs>
        <w:spacing w:lineRule="atLeast" w:line="440"/>
        <w:ind w:left="0" w:hanging="0"/>
        <w:jc w:val="both"/>
        <w:rPr>
          <w:rFonts w:ascii="Calibri" w:hAnsi="Calibri" w:cs="AgendaPl Bold" w:asciiTheme="minorHAnsi" w:hAnsiTheme="minorHAnsi"/>
          <w:b/>
          <w:b/>
          <w:bCs/>
          <w:color w:val="0032FF"/>
          <w:sz w:val="32"/>
          <w:szCs w:val="32"/>
        </w:rPr>
      </w:pPr>
      <w:r>
        <w:rPr>
          <w:rFonts w:cs="AgendaPl Bold" w:ascii="Calibri" w:hAnsi="Calibri" w:asciiTheme="minorHAnsi" w:hAnsiTheme="minorHAnsi"/>
          <w:b/>
          <w:bCs/>
          <w:color w:val="0032FF"/>
          <w:sz w:val="32"/>
          <w:szCs w:val="32"/>
        </w:rPr>
        <w:t xml:space="preserve">Wymagania edukacyjne na poszczególne oceny – BIOLOGIA </w:t>
      </w:r>
      <w:r>
        <w:rPr>
          <w:rFonts w:cs="AgendaPl Bold" w:ascii="Calibri" w:hAnsi="Calibri" w:asciiTheme="minorHAnsi" w:hAnsiTheme="minorHAnsi"/>
          <w:b/>
          <w:bCs/>
          <w:color w:val="0032FF"/>
          <w:sz w:val="32"/>
          <w:szCs w:val="32"/>
        </w:rPr>
        <w:t>Klasa 5</w:t>
      </w:r>
    </w:p>
    <w:p>
      <w:pPr>
        <w:pStyle w:val="Normal"/>
        <w:tabs>
          <w:tab w:val="left" w:pos="170" w:leader="none"/>
          <w:tab w:val="left" w:pos="340" w:leader="none"/>
        </w:tabs>
        <w:spacing w:lineRule="atLeast" w:line="440"/>
        <w:ind w:left="0" w:hanging="0"/>
        <w:jc w:val="both"/>
        <w:rPr>
          <w:rFonts w:ascii="Calibri" w:hAnsi="Calibri" w:cs="AgendaPl Bold" w:asciiTheme="minorHAnsi" w:hAnsiTheme="minorHAnsi"/>
          <w:b/>
          <w:b/>
          <w:bCs/>
          <w:color w:val="0032FF"/>
          <w:sz w:val="32"/>
          <w:szCs w:val="32"/>
        </w:rPr>
      </w:pPr>
      <w:r>
        <w:rPr>
          <w:rFonts w:cs="AgendaPl Bold" w:ascii="Calibri" w:hAnsi="Calibri"/>
          <w:b/>
          <w:bCs/>
          <w:color w:val="0032FF"/>
          <w:sz w:val="32"/>
          <w:szCs w:val="32"/>
        </w:rPr>
      </w:r>
    </w:p>
    <w:tbl>
      <w:tblPr>
        <w:tblStyle w:val="Tabela-Siatka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7"/>
        <w:gridCol w:w="2357"/>
        <w:gridCol w:w="2359"/>
        <w:gridCol w:w="2638"/>
      </w:tblGrid>
      <w:tr>
        <w:trPr/>
        <w:tc>
          <w:tcPr>
            <w:tcW w:w="235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Numer i temat lekcji</w:t>
            </w:r>
          </w:p>
        </w:tc>
        <w:tc>
          <w:tcPr>
            <w:tcW w:w="471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Wymagania podstawowe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Uczeń:</w:t>
            </w:r>
          </w:p>
        </w:tc>
        <w:tc>
          <w:tcPr>
            <w:tcW w:w="7354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Wymagania ponadpodstawowe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Uczeń:</w:t>
            </w:r>
          </w:p>
        </w:tc>
      </w:tr>
      <w:tr>
        <w:trPr/>
        <w:tc>
          <w:tcPr>
            <w:tcW w:w="235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dopuszczająca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before="0" w:after="0"/>
              <w:ind w:left="0" w:firstLine="71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dostateczna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before="0" w:after="0"/>
              <w:ind w:left="885" w:hanging="868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dobra</w:t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/>
              <w:spacing w:before="0" w:after="0"/>
              <w:ind w:left="885" w:hanging="885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bardzo dobra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/>
              <w:spacing w:before="0" w:after="0"/>
              <w:ind w:left="885" w:hanging="885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celująca</w:t>
            </w:r>
          </w:p>
        </w:tc>
      </w:tr>
    </w:tbl>
    <w:tbl>
      <w:tblPr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7"/>
        <w:gridCol w:w="2357"/>
        <w:gridCol w:w="2359"/>
        <w:gridCol w:w="2638"/>
      </w:tblGrid>
      <w:tr>
        <w:trPr/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1"/>
              <w:widowControl w:val="false"/>
              <w:spacing w:lineRule="auto" w:line="240"/>
              <w:jc w:val="center"/>
              <w:rPr>
                <w:rStyle w:val="FontStyle67"/>
                <w:rFonts w:ascii="Calibri" w:hAnsi="Calibri" w:eastAsia="Calibri" w:cs="Calibri" w:eastAsiaTheme="minorHAnsi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określa, co to jest komórka, tkanka, narząd i układ narządów z uwzględnieniem przykładów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widowControl w:val="false"/>
              <w:numPr>
                <w:ilvl w:val="0"/>
                <w:numId w:val="17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przedstawia hierarchiczną</w:t>
            </w:r>
          </w:p>
          <w:p>
            <w:pPr>
              <w:pStyle w:val="ListParagraph"/>
              <w:widowControl w:val="false"/>
              <w:spacing w:lineRule="auto" w:line="240"/>
              <w:ind w:left="0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organizację budowy organizmów roślinnych i zwierzęcych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dokumentuje obserwacje i proste doświadczenia biologiczne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wymienia podstawowe etapy planowania doświadczenia</w:t>
            </w:r>
          </w:p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określa warunki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 xml:space="preserve">przeprowadzania 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obserwacji i doświadczeń biologicznych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formułuje problem badawczy i hipotezę na podstawie przykładowego doświadczenia biologicznego</w:t>
            </w:r>
          </w:p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rozróżnia próbę kontrolną i próbę badawczą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planuje prostą obserwację lub doświadczenie biologiczne z uwzględnieniem  procedury badawczej i zasad bezpieczeństwa</w:t>
            </w:r>
          </w:p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25"/>
              </w:numPr>
              <w:ind w:left="284" w:hanging="227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>
            <w:pPr>
              <w:pStyle w:val="Tabelatekstpodstawowykropatabele"/>
              <w:widowControl w:val="false"/>
              <w:numPr>
                <w:ilvl w:val="0"/>
                <w:numId w:val="3"/>
              </w:numPr>
              <w:ind w:left="284" w:hanging="227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przeprowadza samodzielnie zaplanowane doświadczenie i obserwację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podaje przykłady obiektów przyrodniczych, które mogą być przedmiotem obserwacji mikroskopowych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rozpoznaje  elementy  budowy mikroskopu optycznego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Lato-Regular" w:cs="Calibri" w:ascii="Calibri" w:hAnsi="Calibri" w:asciiTheme="minorHAnsi" w:hAnsiTheme="minorHAns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Lato-Regular" w:cs="Calibri" w:ascii="Calibri" w:hAnsi="Calibri" w:asciiTheme="minorHAnsi" w:hAnsiTheme="minorHAns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Lato-Regular" w:cs="Calibri" w:ascii="Calibri" w:hAnsi="Calibri" w:asciiTheme="minorHAnsi" w:hAnsiTheme="minorHAns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eastAsia="Calibri" w:cs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Lato-Regular" w:cs="Calibri" w:ascii="Calibri" w:hAnsi="Calibri" w:asciiTheme="minorHAnsi" w:hAnsiTheme="minorHAnsi"/>
                <w:bCs/>
                <w:sz w:val="22"/>
                <w:szCs w:val="22"/>
                <w:lang w:eastAsia="en-US"/>
              </w:rPr>
              <w:t>dokonuje</w:t>
            </w:r>
            <w:r>
              <w:rPr>
                <w:rFonts w:eastAsia="Lato-Regular" w:cs="Calibri" w:ascii="Calibri" w:hAnsi="Calibri" w:asciiTheme="minorHAnsi" w:hAnsiTheme="minorHAnsi"/>
                <w:sz w:val="22"/>
                <w:szCs w:val="22"/>
                <w:lang w:eastAsia="en-US"/>
              </w:rPr>
              <w:t xml:space="preserve"> samodzielnie 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>
            <w:pPr>
              <w:pStyle w:val="Style21"/>
              <w:widowControl w:val="false"/>
              <w:spacing w:lineRule="auto" w:line="276"/>
              <w:ind w:left="384" w:hanging="384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określa, co to są sole mineralne i jaką pełnią funkcję w organizmach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określa, co to jest komórka</w:t>
            </w:r>
          </w:p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wymienia podstawowe elementy budowy komórki zwierzęcej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dokonuje obserwacji mikroskopowych  komórek zwierzęcych na preparatach trwałych z zachowaniem zasad mikroskopowania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17" w:hanging="17"/>
              <w:textAlignment w:val="auto"/>
              <w:rPr>
                <w:rStyle w:val="FontStyle69"/>
                <w:rFonts w:ascii="Calibri" w:hAnsi="Calibri" w:cs="AgendaPl-RegularCondensed" w:asciiTheme="minorHAnsi" w:hAnsiTheme="minorHAns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rozpoznaje podstawowe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 xml:space="preserve">elementy budowy komórki zwierzęcej </w:t>
            </w:r>
            <w:r>
              <w:rPr>
                <w:rFonts w:cs="AgendaPl-RegularCondensed" w:ascii="Calibri" w:hAnsi="Calibri" w:asciiTheme="minorHAnsi" w:hAnsiTheme="minorHAnsi"/>
                <w:sz w:val="22"/>
                <w:szCs w:val="22"/>
              </w:rPr>
              <w:t>(pod mikroskopem, na schemacie, na zdjęciu lub na podstawie opisu)</w:t>
            </w:r>
          </w:p>
          <w:p>
            <w:pPr>
              <w:pStyle w:val="Tabelatekstpodstawowykropatabele"/>
              <w:widowControl w:val="false"/>
              <w:ind w:left="0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podaje przykłady komórek zwierzęcych budujących organizmy oraz ich funkcje w organizmie</w:t>
            </w:r>
          </w:p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porównuje budowę komórek zwierzęcych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wykazuje związek budowy komórek zwierzęcych z  ich funkcją w organizmie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6.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Komórka roślinna i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 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eastAsia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odróżnia  komórkę 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opisuje budowę komórki bakteryjnej</w:t>
            </w:r>
          </w:p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rozpoznaje podstawowe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elementy budowy komórki roślinnej i komórki bakteryjnej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wyjaśnia związek elementów budowy komórki  roślinnej i komórki zwierzęcej z  ich funkcją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lineRule="auto" w:line="276"/>
              <w:rPr>
                <w:rStyle w:val="FontStyle70"/>
                <w:rFonts w:ascii="Calibri" w:hAnsi="Calibri" w:cs="Calibri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7. Podsumowanie</w:t>
              <w:br/>
              <w:t xml:space="preserve">działu 1: </w:t>
            </w:r>
            <w:r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7"/>
        <w:gridCol w:w="2357"/>
        <w:gridCol w:w="2359"/>
        <w:gridCol w:w="2638"/>
      </w:tblGrid>
      <w:tr>
        <w:trPr/>
        <w:tc>
          <w:tcPr>
            <w:tcW w:w="14425" w:type="dxa"/>
            <w:gridSpan w:val="6"/>
            <w:tcBorders/>
            <w:shd w:color="auto" w:fill="auto" w:val="clear"/>
          </w:tcPr>
          <w:p>
            <w:pPr>
              <w:pStyle w:val="Style71"/>
              <w:widowControl w:val="false"/>
              <w:spacing w:lineRule="auto" w:line="240" w:before="0" w:after="0"/>
              <w:jc w:val="center"/>
              <w:rPr>
                <w:rStyle w:val="FontStyle67"/>
                <w:rFonts w:ascii="Calibri" w:hAnsi="Calibri" w:eastAsia="Calibri" w:cs="Calibri" w:asciiTheme="minorHAnsi" w:cstheme="minorHAnsi" w:eastAsiaTheme="minorHAnsi" w:hAnsiTheme="minorHAnsi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Dział 2.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CZYNNOŚCI ŻYCIOWE ORGANIZMÓW I SYSTEMATYKA ORGANIZMÓW. WIRUSY. BAKTERIE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ind w:left="0" w:hanging="4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8. Czynności życiowe organizmów</w:t>
            </w:r>
          </w:p>
          <w:p>
            <w:pPr>
              <w:pStyle w:val="Style21"/>
              <w:widowControl w:val="false"/>
              <w:spacing w:before="0" w:after="0"/>
              <w:ind w:left="374" w:hanging="374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8"/>
              </w:numPr>
              <w:tabs>
                <w:tab w:val="left" w:pos="274" w:leader="none"/>
              </w:tabs>
              <w:spacing w:lineRule="auto" w:line="240" w:before="0" w:after="0"/>
              <w:ind w:left="0" w:hanging="4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czynności życiowe jako cechy właściwe tylko organizmom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8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krótko charakteryzuje podstawowe czynności życiowe organizmów (odżywianie się, oddychanie, wydalanie, wrażliwość na bodźce, wzrost i rozwój, ruch, rozmnażanie się)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8"/>
              </w:numPr>
              <w:tabs>
                <w:tab w:val="left" w:pos="274" w:leader="none"/>
              </w:tabs>
              <w:spacing w:lineRule="auto" w:line="240" w:before="0" w:after="0"/>
              <w:ind w:left="17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na czym polega rozmnażanie się płciowe i bezpłciowe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8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rodzaje rozmnażania się bezpłciowego (podział, pączkowanie, fragmentację, przez zarodniki)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różnice między  rozmnażaniem się płciowym i rozmnażaniem się bezpłciowym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9.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Odżywianie się organizmów. Fotosynteza</w:t>
            </w:r>
          </w:p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wyjaśnia, co to jest odżywianie się i jakie jest jego znaczenie w życiu organizmów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wyjaśnia, na czym polega samożywność i cudzożywność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 znaczenie fotosyntezy dla życia na Ziemi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dokonuje podziału organizmów cudzożywnych ze względu na rodzaj pobieranego pokarmu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36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wymienia substraty i produkty fotosyntezy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17" w:hanging="0"/>
              <w:contextualSpacing/>
              <w:jc w:val="left"/>
              <w:textAlignment w:val="auto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wyjaśnia, na czym polega  fotosynteza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określa warunki przebiegu fotosyntezy (w odniesieniu do światła i temperatury)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rolę chlorofilu w fotosyntezie (wiązanie energii słonecznej)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planuje doświadczenie wskazujące na wpływ wybranego czynnika na intensywność fotosyntezy</w:t>
            </w:r>
          </w:p>
          <w:p>
            <w:pPr>
              <w:pStyle w:val="ListParagraph"/>
              <w:widowControl/>
              <w:spacing w:before="0" w:after="0"/>
              <w:ind w:left="211" w:hanging="3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przeprowadza doświadczenie wskazujące na wpływ wybranego czynnika na intensywność fotosyntezy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10. Oddychanie organizmów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znaczenie procesów pozyskiwania energii dla organizmów (oddychanie tlenowe i fermentacja)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różnice między oddychaniem komórkowym a wymianą gazową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przykłady zastosowania fermentacji w przemyśle i gospodarstwie domowym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17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zapisuje słownie równanie oddychania tlenowego, określając substraty, produkty oraz warunki przebiegu tego procesu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substraty i produkty fermentacji</w:t>
            </w:r>
          </w:p>
        </w:tc>
        <w:tc>
          <w:tcPr>
            <w:tcW w:w="23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planuje doświadczenie wykazujące, że podczas fermentacji drożdże wydzielają dwutlenek węgla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końcowe produkty fermentacji na podstawie przeprowadzonego doświadczenia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warunki przebiegu fermentacji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przeprowadza doświadczenie fermentacji u drożdży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porównuje oddychanie tlenowe z fermentacją pod kątem substratów, produktów, ilości uwalnianej energii i lokalizacji w komórce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051" w:hRule="atLeast"/>
        </w:trPr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11.Zasady klasyfikowania organizmów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w jakim celu klasyfikuje się organizmy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co to jest gatunek</w:t>
            </w:r>
          </w:p>
          <w:p>
            <w:pPr>
              <w:pStyle w:val="Normal"/>
              <w:widowControl w:val="false"/>
              <w:tabs>
                <w:tab w:val="left" w:pos="170" w:leader="none"/>
                <w:tab w:val="left" w:pos="385" w:leader="none"/>
              </w:tabs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wyjaśnia, co rozumiemy pod pojęciem oznaczanie organizmów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przykład kryterium pomocnego w klasyfikacji</w:t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17" w:hanging="17"/>
              <w:contextualSpacing/>
              <w:jc w:val="left"/>
              <w:textAlignment w:val="auto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Times New Roman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wykorzystuje prosty klucz do klasyfikowania organizmów </w:t>
            </w:r>
            <w:r>
              <w:rPr>
                <w:rStyle w:val="FontStyle69"/>
                <w:rFonts w:eastAsia="Calibri" w:cs="Times New Roman" w:ascii="Calibri" w:hAnsi="Calibri" w:asciiTheme="minorHAnsi" w:hAnsiTheme="minorHAnsi"/>
                <w:b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z najbliższego otoczenia</w:t>
            </w:r>
          </w:p>
          <w:p>
            <w:pPr>
              <w:pStyle w:val="Normal"/>
              <w:widowControl w:val="false"/>
              <w:tabs>
                <w:tab w:val="left" w:pos="170" w:leader="none"/>
                <w:tab w:val="left" w:pos="385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klasyfikuje organizmy na podstawie przyjętego kryterium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konstruuje prosty dwudzielny klucz do oznaczania przykładowych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12. Systematyka organizmów. Przegląd królestw</w:t>
            </w:r>
          </w:p>
          <w:p>
            <w:pPr>
              <w:pStyle w:val="Style21"/>
              <w:widowControl w:val="false"/>
              <w:spacing w:before="0" w:after="0"/>
              <w:ind w:left="374" w:hanging="374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czym zajmuje się systematyka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przykłady jednostek systematycznych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zasady systemu klasyfikacji biologicznej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wymienia w kolejności główne  jednostki systematyczne królestwa zwierząt i królestwa roślin</w:t>
            </w:r>
          </w:p>
          <w:p>
            <w:pPr>
              <w:pStyle w:val="ListParagraph"/>
              <w:widowControl/>
              <w:spacing w:before="0" w:after="0"/>
              <w:ind w:left="0" w:hanging="3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17" w:hanging="0"/>
              <w:contextualSpacing/>
              <w:jc w:val="left"/>
              <w:textAlignment w:val="auto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 zastosowanie pojęcia „układ hierarchiczny” w odniesieniu do klasyfikacji organizmów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17" w:hanging="0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jak tworzy się nazwę gatunkową (podwójne nazewnictwo)</w:t>
            </w:r>
          </w:p>
        </w:tc>
        <w:tc>
          <w:tcPr>
            <w:tcW w:w="2359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ogólną charakterystykę każdego z pięciu królestw organizmów, ze wskazaniem na istotne cechy różniące te królestwa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rozpoznaje organizmy z najbliższego otoczenia, posługując się prostym kluczem do ich oznaczania</w:t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charakterystyczne cechy organizmów pozwalające przyporządkować je do jednego z królestw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13. Bakterie i wirusy</w:t>
            </w:r>
          </w:p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znaczenie bakterii w życiu człowieka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przykłady chorób bakteryjnych i wirusowych człowieka</w:t>
            </w:r>
          </w:p>
          <w:p>
            <w:pPr>
              <w:pStyle w:val="Style42"/>
              <w:widowControl w:val="false"/>
              <w:numPr>
                <w:ilvl w:val="0"/>
                <w:numId w:val="27"/>
              </w:numPr>
              <w:tabs>
                <w:tab w:val="left" w:pos="274" w:leader="none"/>
              </w:tabs>
              <w:spacing w:lineRule="auto" w:line="240" w:before="0" w:after="0"/>
              <w:ind w:left="17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ogólne zasady  profilaktyki chorób bakteryjnych i chorób wirusowych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eastAsia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znaczenie bakterii w przyrodzie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rozmiary bakterii i środowisko ich życia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rozróżnia formy komórek bakteryjnych (kuliste, pałeczkowate, przecinkowate i spiralne)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9"/>
              </w:numPr>
              <w:tabs>
                <w:tab w:val="left" w:pos="274" w:leader="none"/>
              </w:tabs>
              <w:spacing w:lineRule="auto" w:line="240" w:before="0" w:after="0"/>
              <w:ind w:left="17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drogi rozprzestrzeniania się i zasady profilaktyki chorób bakteryjnych  (gruźlica, borelioza, tężec, salmonelloza) i wirusowych (grypa, ospa, różyczka, świnka, odra, AIDS)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17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czynności życiowe bakterii: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sposoby odżywiania się bakterii:  cudzożywne (pasożyty, saprotrofy, symbionty) i samożywne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sposoby oddychania (tlenowe i beztlenowe)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rozmnażanie się (przez podział)</w:t>
            </w:r>
          </w:p>
        </w:tc>
        <w:tc>
          <w:tcPr>
            <w:tcW w:w="2638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uzasadnia, dlaczego wirusów nie można zaklasyfikować do organizmów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wskazuje na związki pomiędzy  środowiskiem życia, czynnościami życiowych i znaczeniem bakterii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720" w:hanging="0"/>
              <w:jc w:val="left"/>
              <w:rPr>
                <w:rStyle w:val="FontStyle69"/>
                <w:rFonts w:ascii="Calibri" w:hAnsi="Calibri" w:cs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57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left="379" w:hanging="379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14. Podsumowanie</w:t>
            </w:r>
          </w:p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działu 2: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kern w:val="0"/>
                <w:sz w:val="22"/>
                <w:szCs w:val="22"/>
                <w:lang w:val="pl-PL" w:eastAsia="en-US" w:bidi="ar-SA"/>
              </w:rPr>
              <w:t>Czynności życiowe organizmów i systematyka organizmów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kern w:val="0"/>
                <w:sz w:val="22"/>
                <w:szCs w:val="22"/>
                <w:lang w:val="pl-PL" w:eastAsia="en-US" w:bidi="ar-SA"/>
              </w:rPr>
              <w:t>Wirusy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kern w:val="0"/>
                <w:sz w:val="22"/>
                <w:szCs w:val="22"/>
                <w:lang w:val="pl-PL" w:eastAsia="en-US" w:bidi="ar-SA"/>
              </w:rPr>
              <w:t>Bakterie</w:t>
            </w:r>
          </w:p>
        </w:tc>
        <w:tc>
          <w:tcPr>
            <w:tcW w:w="12068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wszystkie wymagania z lekcji 9–13</w:t>
            </w:r>
          </w:p>
        </w:tc>
      </w:tr>
      <w:tr>
        <w:trPr/>
        <w:tc>
          <w:tcPr>
            <w:tcW w:w="14425" w:type="dxa"/>
            <w:gridSpan w:val="6"/>
            <w:tcBorders/>
            <w:shd w:color="auto" w:fill="auto" w:val="clear"/>
          </w:tcPr>
          <w:p>
            <w:pPr>
              <w:pStyle w:val="Style71"/>
              <w:widowControl w:val="false"/>
              <w:spacing w:lineRule="auto" w:line="240" w:before="0" w:after="0"/>
              <w:jc w:val="center"/>
              <w:rPr>
                <w:rStyle w:val="FontStyle67"/>
                <w:rFonts w:ascii="Calibri" w:hAnsi="Calibri" w:eastAsia="Calibri" w:cs="Calibri" w:asciiTheme="minorHAnsi" w:cstheme="minorHAnsi" w:eastAsiaTheme="minorHAnsi" w:hAnsiTheme="minorHAnsi"/>
                <w:b w:val="false"/>
                <w:b w:val="false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Dział 3.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PROTISTY. GRZYBY. ROŚLINY ZARODNIKOWE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15. </w:t>
            </w:r>
            <w:r>
              <w:rPr>
                <w:rFonts w:cs="Calibri" w:ascii="Calibri" w:hAnsi="Calibri" w:asciiTheme="minorHAnsi" w:cstheme="minorHAnsi" w:hAnsiTheme="minorHAnsi"/>
                <w:b/>
                <w:color w:val="231F20"/>
                <w:kern w:val="0"/>
                <w:sz w:val="22"/>
                <w:szCs w:val="22"/>
                <w:shd w:fill="FFFFFF" w:val="clear"/>
                <w:lang w:val="pl-PL" w:bidi="ar-SA"/>
              </w:rPr>
              <w:t>Protisty</w:t>
            </w:r>
            <w:r>
              <w:rPr>
                <w:rFonts w:cs="Calibri" w:ascii="Calibri" w:hAnsi="Calibri" w:asciiTheme="minorHAnsi" w:cstheme="minorHAnsi" w:hAnsiTheme="minorHAnsi"/>
                <w:b/>
                <w:color w:val="231F20"/>
                <w:kern w:val="0"/>
                <w:sz w:val="22"/>
                <w:szCs w:val="22"/>
                <w:lang w:val="pl-PL" w:bidi="ar-SA"/>
              </w:rPr>
              <w:t xml:space="preserve"> – charakterystyka,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czynności życiowe</w:t>
            </w:r>
          </w:p>
          <w:p>
            <w:pPr>
              <w:pStyle w:val="Style21"/>
              <w:widowControl w:val="false"/>
              <w:spacing w:before="0" w:after="0"/>
              <w:ind w:left="379" w:hanging="379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odróżnia protisty jedno- od wielokomórkowych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wymienia cechy umożliwiające zakwalifikowanie organizmu do protistów roślinnych oraz protistów zwierzęcych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zakłada hodowlę protistów zgodnie z podaną instrukcją</w:t>
            </w:r>
          </w:p>
        </w:tc>
        <w:tc>
          <w:tcPr>
            <w:tcW w:w="2357" w:type="dxa"/>
            <w:tcBorders/>
          </w:tcPr>
          <w:p>
            <w:pPr>
              <w:pStyle w:val="Annotationtext"/>
              <w:widowControl w:val="false"/>
              <w:numPr>
                <w:ilvl w:val="0"/>
                <w:numId w:val="28"/>
              </w:numPr>
              <w:tabs>
                <w:tab w:val="left" w:pos="248" w:leader="none"/>
              </w:tabs>
              <w:spacing w:before="0" w:after="0"/>
              <w:ind w:left="-36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określa  środowisko i tryb życia protistów, podając przykłady organizmów</w:t>
            </w:r>
          </w:p>
          <w:p>
            <w:pPr>
              <w:pStyle w:val="Normal"/>
              <w:widowControl w:val="false"/>
              <w:tabs>
                <w:tab w:val="left" w:pos="170" w:leader="none"/>
                <w:tab w:val="left" w:pos="243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-24" w:hanging="3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wyjaśnia, dlaczego euglena zielona jest nazywana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organizmem zmiennożywnym</w:t>
            </w:r>
          </w:p>
          <w:p>
            <w:pPr>
              <w:pStyle w:val="Normal"/>
              <w:widowControl w:val="false"/>
              <w:tabs>
                <w:tab w:val="left" w:pos="170" w:leader="none"/>
                <w:tab w:val="left" w:pos="243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wybrane czynności życiowe protistów (oddychanie, odżywianie się, rozmnażanie się)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wskazuje cechy grupy organizmów tworzących królestwo protistów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16.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Przegląd protistów. Protisty chorobotwórcze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337" w:leader="none"/>
              </w:tabs>
              <w:suppressAutoHyphens w:val="false"/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wskazuje elementy budowy protista wielokomórkowego na przykładzie morszczynu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337" w:leader="none"/>
              </w:tabs>
              <w:suppressAutoHyphens w:val="false"/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zasady profilaktyki chorób wywoływanych przez protisty (toksoplazmoza, malaria)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282" w:leader="none"/>
              </w:tabs>
              <w:suppressAutoHyphens w:val="false"/>
              <w:spacing w:lineRule="auto" w:line="240" w:before="0" w:after="0"/>
              <w:ind w:left="-36" w:firstLine="36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podaje cechy plechowców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248" w:leader="none"/>
              </w:tabs>
              <w:suppressAutoHyphens w:val="false"/>
              <w:spacing w:lineRule="auto" w:line="240" w:before="0" w:after="0"/>
              <w:ind w:left="0" w:hanging="36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czynności życiowe pantofelka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300" w:leader="none"/>
              </w:tabs>
              <w:suppressAutoHyphens w:val="false"/>
              <w:spacing w:lineRule="auto" w:line="240" w:before="0" w:after="0"/>
              <w:ind w:left="17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dokonuje obserwacji mikroskopowej protistów </w:t>
            </w:r>
            <w:r>
              <w:rPr>
                <w:rFonts w:eastAsia="Calibri"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eastAsia="en-US" w:bidi="ar-SA"/>
              </w:rPr>
              <w:t>–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budowy i sposobu poruszania się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300" w:leader="none"/>
              </w:tabs>
              <w:suppressAutoHyphens w:val="false"/>
              <w:spacing w:lineRule="auto" w:line="240" w:before="0" w:after="0"/>
              <w:ind w:left="17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drogi zakażenia chorobami wywoływanymi przez protisty (toksoplazmoza, malaria)</w:t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211" w:leader="none"/>
              </w:tabs>
              <w:suppressAutoHyphens w:val="false"/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wykazuje różnorodność budowy protistów (jednokomórkowe, wielokomórkowe) na wybranych przykładach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263" w:leader="none"/>
              </w:tabs>
              <w:suppressAutoHyphens w:val="false"/>
              <w:spacing w:lineRule="auto" w:line="240" w:before="0" w:after="0"/>
              <w:ind w:left="-20" w:hanging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porównuje tryb życia i budowę protistów roślinopodobnych i zwierzęcych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Spacing"/>
              <w:widowControl w:val="false"/>
              <w:spacing w:lineRule="auto" w:line="312"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17.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 xml:space="preserve">Grzyby </w:t>
            </w: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różnorodność,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budowa, czynności życiowe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różnorodność budowy grzybów (jednokomórkowe, wielokomórkowe)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wyjaśnia, dlaczego porosty określamy jako organizmy symbiotyczne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opisuje wybrane czynności życiowe grzybów (odżywianie się, oddychanie i rozmnażanie się)</w:t>
            </w:r>
          </w:p>
        </w:tc>
        <w:tc>
          <w:tcPr>
            <w:tcW w:w="2359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wykazuje różnorodność budowy grzybów na wybranych przykładach</w:t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170"/>
                <w:tab w:val="left" w:pos="263" w:leader="none"/>
              </w:tabs>
              <w:suppressAutoHyphens w:val="false"/>
              <w:spacing w:lineRule="auto" w:line="240" w:before="0" w:after="0"/>
              <w:ind w:left="-20" w:hanging="0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wskazuje cechy odróżniające grzyby od organizmów innych królestw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18. Grzyby </w:t>
            </w: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 xml:space="preserve">środowisko życia, </w:t>
            </w: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i znaczenie</w:t>
            </w:r>
          </w:p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3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3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środowiska życia grzybów, w tym grzybów porostowych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32"/>
              </w:numPr>
              <w:tabs>
                <w:tab w:val="left" w:pos="274" w:leader="none"/>
              </w:tabs>
              <w:spacing w:lineRule="auto" w:line="240" w:before="0" w:after="0"/>
              <w:ind w:left="0" w:firstLine="17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znaczenie grzybów w przyrodzie</w:t>
            </w:r>
          </w:p>
        </w:tc>
        <w:tc>
          <w:tcPr>
            <w:tcW w:w="2359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33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wyjaśnia, w jaki sposób można wykorzystać grzyby porostowe do oceny jakości powietrza</w:t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/>
              <w:numPr>
                <w:ilvl w:val="0"/>
                <w:numId w:val="34"/>
              </w:numPr>
              <w:tabs>
                <w:tab w:val="clear" w:pos="170"/>
                <w:tab w:val="left" w:pos="332" w:leader="none"/>
                <w:tab w:val="left" w:pos="1201" w:leader="none"/>
              </w:tabs>
              <w:suppressAutoHyphens w:val="false"/>
              <w:spacing w:lineRule="auto" w:line="240" w:before="0" w:after="0"/>
              <w:ind w:left="-20" w:hanging="0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wskazuje cechy umożliwiające zakwalifikowanie organizmu do grzybów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19. Budowa i różnorodność mchów</w:t>
            </w:r>
          </w:p>
          <w:p>
            <w:pPr>
              <w:pStyle w:val="Style21"/>
              <w:widowControl w:val="false"/>
              <w:spacing w:before="0" w:after="0"/>
              <w:ind w:left="379" w:hanging="379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określa środowiska życia mchów</w:t>
            </w:r>
          </w:p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przeprowadza doświadczenie wykazujące zdolność mchów do chłonięcia wody, zgodnie z podaną instrukcją.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odróżnia mchy od innych roślin na rysunkach, fotografiach i okazach naturalnych</w:t>
            </w:r>
          </w:p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znaczenie mchów w przyrodzie i życiu człowieka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cechy budowy zewnętrznej płonnika</w:t>
            </w:r>
          </w:p>
        </w:tc>
        <w:tc>
          <w:tcPr>
            <w:tcW w:w="2359" w:type="dxa"/>
            <w:tcBorders/>
          </w:tcPr>
          <w:p>
            <w:pPr>
              <w:pStyle w:val="Annotationtext"/>
              <w:widowControl w:val="false"/>
              <w:numPr>
                <w:ilvl w:val="0"/>
                <w:numId w:val="11"/>
              </w:numPr>
              <w:tabs>
                <w:tab w:val="left" w:pos="337" w:leader="none"/>
              </w:tabs>
              <w:spacing w:before="0" w:after="0"/>
              <w:ind w:left="0" w:firstLine="53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wyjaśnia, dlaczego torfowiec może gromadzić duże ilości wody</w:t>
            </w:r>
          </w:p>
        </w:tc>
        <w:tc>
          <w:tcPr>
            <w:tcW w:w="2638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wymienia charakterystyczne cechy mchów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pozwalające na ich identyfikację wśród nieznanych organizmów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20. Paprociowe, widłakowe i skrzypowe</w:t>
            </w:r>
          </w:p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2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wskazuje środowiska życia paprociowych, widłakowych i skrzypowych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2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9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2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podaje charakterystyczne cechy paprociowych, widłakowych i skrzypowych</w:t>
            </w:r>
          </w:p>
        </w:tc>
        <w:tc>
          <w:tcPr>
            <w:tcW w:w="2638" w:type="dxa"/>
            <w:tcBorders/>
          </w:tcPr>
          <w:p>
            <w:pPr>
              <w:pStyle w:val="Annotationtext"/>
              <w:widowControl w:val="false"/>
              <w:numPr>
                <w:ilvl w:val="0"/>
                <w:numId w:val="12"/>
              </w:numPr>
              <w:tabs>
                <w:tab w:val="left" w:pos="263" w:leader="none"/>
              </w:tabs>
              <w:spacing w:before="0" w:after="0"/>
              <w:ind w:left="0" w:hanging="19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wskazuje podobieństwa i różnice między paprociami, skrzypami i </w:t>
            </w:r>
            <w:bookmarkStart w:id="0" w:name="_GoBack"/>
            <w:bookmarkEnd w:id="0"/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widłakami</w:t>
            </w:r>
          </w:p>
        </w:tc>
      </w:tr>
      <w:tr>
        <w:trPr/>
        <w:tc>
          <w:tcPr>
            <w:tcW w:w="2357" w:type="dxa"/>
            <w:tcBorders/>
            <w:shd w:color="auto" w:fill="auto" w:val="clear"/>
          </w:tcPr>
          <w:p>
            <w:pPr>
              <w:pStyle w:val="Style28"/>
              <w:widowControl w:val="false"/>
              <w:spacing w:before="0" w:after="0"/>
              <w:ind w:left="379" w:hanging="379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21. Podsumowanie</w:t>
            </w:r>
          </w:p>
          <w:p>
            <w:pPr>
              <w:pStyle w:val="Style28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działu 3: </w:t>
            </w:r>
            <w:r>
              <w:rPr>
                <w:rStyle w:val="FontStyle68"/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bidi="ar-SA"/>
              </w:rPr>
              <w:t>Protisty. Grzyby. Rośliny zarodnikowe</w:t>
            </w:r>
          </w:p>
          <w:p>
            <w:pPr>
              <w:pStyle w:val="Style28"/>
              <w:widowControl w:val="false"/>
              <w:spacing w:before="0" w:after="0"/>
              <w:jc w:val="left"/>
              <w:rPr>
                <w:rStyle w:val="FontStyle70"/>
                <w:rFonts w:ascii="Calibri" w:hAnsi="Calibri" w:cs="Calibri" w:asciiTheme="minorHAnsi" w:cstheme="minorHAnsi" w:hAnsiTheme="minorHAnsi"/>
                <w:i w:val="false"/>
                <w:i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 w:val="false"/>
                <w:sz w:val="22"/>
                <w:szCs w:val="22"/>
              </w:rPr>
            </w:r>
          </w:p>
        </w:tc>
        <w:tc>
          <w:tcPr>
            <w:tcW w:w="12068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wszystkie wymagania z lekcji 15–20</w:t>
            </w:r>
          </w:p>
        </w:tc>
      </w:tr>
    </w:tbl>
    <w:tbl>
      <w:tblPr>
        <w:tblW w:w="14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665"/>
        <w:gridCol w:w="2357"/>
        <w:gridCol w:w="2357"/>
        <w:gridCol w:w="2358"/>
      </w:tblGrid>
      <w:tr>
        <w:trPr/>
        <w:tc>
          <w:tcPr>
            <w:tcW w:w="14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1"/>
              <w:widowControl w:val="false"/>
              <w:spacing w:lineRule="auto" w:line="240"/>
              <w:jc w:val="center"/>
              <w:rPr>
                <w:rStyle w:val="FontStyle67"/>
                <w:rFonts w:eastAsia="Calibri" w:eastAsiaTheme="minorHAnsi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Style w:val="FontStyle68"/>
                <w:sz w:val="22"/>
                <w:szCs w:val="22"/>
              </w:rPr>
            </w:pPr>
            <w:r>
              <w:rPr>
                <w:rStyle w:val="FontStyle68"/>
                <w:sz w:val="22"/>
                <w:szCs w:val="22"/>
              </w:rPr>
              <w:t>22. Budowa roślin. Tkanki roślinne</w:t>
            </w:r>
          </w:p>
          <w:p>
            <w:pPr>
              <w:pStyle w:val="Style61"/>
              <w:widowControl w:val="false"/>
              <w:rPr>
                <w:rStyle w:val="FontStyle70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b/>
                <w:i w:val="false"/>
                <w:sz w:val="22"/>
                <w:szCs w:val="22"/>
              </w:rPr>
            </w:r>
          </w:p>
          <w:p>
            <w:pPr>
              <w:pStyle w:val="Style61"/>
              <w:widowControl w:val="false"/>
              <w:rPr>
                <w:rStyle w:val="FontStyle68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dokonuje obserwacji mikroskopowej wybranych tkanek roślinnych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klasyfikuje tkanki roślinne</w:t>
            </w:r>
          </w:p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opisuje położenie tkanek twórczych i ich rolę we wzroście rośliny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Style w:val="FontStyle68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przedstawia cechy budowy zewnętrznej rośliny nagonasiennej na przykładzie sosny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uzasadnia, jakie korzyści przyniosło roślinom wytworzenie nasion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ind w:left="0" w:firstLine="5"/>
              <w:rPr>
                <w:rStyle w:val="FontStyle68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ascii="Calibri" w:hAnsi="Calibri" w:asciiTheme="minorHAnsi" w:hAnsiTheme="minorHAnsi"/>
                <w:sz w:val="22"/>
                <w:szCs w:val="22"/>
              </w:rPr>
              <w:t xml:space="preserve">24.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</w:p>
          <w:p>
            <w:pPr>
              <w:pStyle w:val="Style61"/>
              <w:widowControl w:val="false"/>
              <w:ind w:left="0" w:firstLine="5"/>
              <w:rPr>
                <w:rStyle w:val="FontStyle68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uzasadnia, że życie człowieka nie byłoby możliwe bez roślin okrytonasiennych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pospolite gatunki rodzimych drzew liściastych na podstawie pędów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uzasadnia, że cechy roślin okrytonasiennych przyczyniły się do ich dominacji we florze świata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rPr>
                <w:rStyle w:val="FontStyle68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ascii="Calibri" w:hAnsi="Calibri" w:asciiTheme="minorHAnsi" w:hAnsiTheme="minorHAnsi"/>
                <w:sz w:val="22"/>
                <w:szCs w:val="22"/>
              </w:rPr>
              <w:t xml:space="preserve">25.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Korzeń i pęd  okrytonasiennych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3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opisuje budowę zewnętrzną korzenia, łodygi i liścia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3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4"/>
              </w:numPr>
              <w:ind w:left="263" w:hanging="263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opisuje modyfikacje korzeni, łodyg i liści jako adaptacje roślin okryto</w:t>
              <w:softHyphen/>
              <w:t>nasiennych do życia w określonych środowiskach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0"/>
              <w:rPr>
                <w:rStyle w:val="FontStyle68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ascii="Calibri" w:hAnsi="Calibri" w:asciiTheme="minorHAnsi" w:hAnsiTheme="minorHAnsi"/>
                <w:sz w:val="22"/>
                <w:szCs w:val="22"/>
              </w:rPr>
              <w:t xml:space="preserve">26.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>
            <w:pPr>
              <w:pStyle w:val="Style61"/>
              <w:widowControl w:val="false"/>
              <w:rPr>
                <w:rStyle w:val="FontStyle68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rozróżnia  elementy budowy kwiatu rośliny okrytonasiennej</w:t>
            </w:r>
          </w:p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odróżnia zapylenie i zapłodnienie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określa rolę poszczególnych elementów budowy kwiatu</w:t>
            </w:r>
          </w:p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wyjaśnia, na czym polega rozmnażanie się płciowe roślin</w:t>
            </w:r>
          </w:p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rozróżnia  i obserwuje sposoby rozmnażania się wegetatywnego roślin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Cs/>
                <w:color w:val="000000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170"/>
              </w:tabs>
              <w:suppressAutoHyphens w:val="false"/>
              <w:spacing w:lineRule="auto" w:line="240"/>
              <w:ind w:left="211" w:hanging="199"/>
              <w:textAlignment w:val="auto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 xml:space="preserve">wskazuje przykłady roślin użytkowych rozmnażanych wegetatywnie </w:t>
            </w:r>
            <w:r>
              <w:rPr>
                <w:rFonts w:cs="AgendaPl-RegularCondensed" w:ascii="Calibri" w:hAnsi="Calibri" w:asciiTheme="minorHAnsi" w:hAnsiTheme="minorHAnsi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wyjaśnia, w jaki sposób powstają nasiona i owoce okrytonasiennych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FontStyle68"/>
                <w:rFonts w:ascii="Calibri" w:hAnsi="Calibri" w:asciiTheme="minorHAnsi" w:hAnsiTheme="minorHAnsi"/>
                <w:sz w:val="22"/>
                <w:szCs w:val="22"/>
              </w:rPr>
              <w:t xml:space="preserve">27.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>
            <w:pPr>
              <w:pStyle w:val="Style61"/>
              <w:widowControl w:val="false"/>
              <w:rPr>
                <w:rStyle w:val="FontStyle68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opisuje rolę poszczególnych części nasienia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opisuje przebieg kiełkowania nasion i warunki niezbędne do tego procesu</w:t>
            </w:r>
          </w:p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wykonuje doświadczenie sprawdzające wpływ wybranego czynnika na kiełkowanie nasion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planuje doświadczenie sprawdzające wpływ wybranego czynnika na kiełkowanie nasion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Cs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rPr>
                <w:rStyle w:val="FontStyle68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sz w:val="22"/>
                <w:szCs w:val="22"/>
              </w:rPr>
              <w:t xml:space="preserve">28. Posumowanie działu 4: </w:t>
            </w:r>
            <w:r>
              <w:rPr>
                <w:rStyle w:val="FontStyle68"/>
                <w:i/>
                <w:sz w:val="22"/>
                <w:szCs w:val="22"/>
              </w:rPr>
              <w:t>Rośliny nasienne. Tkanki i organy roślinne</w:t>
            </w:r>
          </w:p>
        </w:tc>
        <w:tc>
          <w:tcPr>
            <w:tcW w:w="1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wszystkie wymagania z lekcji 22–27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170" w:leader="none"/>
          <w:tab w:val="left" w:pos="340" w:leader="none"/>
        </w:tabs>
        <w:spacing w:lineRule="atLeast" w:line="440"/>
        <w:ind w:left="0" w:hanging="0"/>
        <w:jc w:val="both"/>
        <w:rPr>
          <w:rFonts w:ascii="Calibri" w:hAnsi="Calibri" w:cs="AgendaPl Bold" w:asciiTheme="minorHAnsi" w:hAnsiTheme="minorHAnsi"/>
          <w:b/>
          <w:b/>
          <w:bCs/>
          <w:color w:val="0032FF"/>
          <w:sz w:val="32"/>
          <w:szCs w:val="32"/>
        </w:rPr>
      </w:pPr>
      <w:r>
        <w:rPr>
          <w:rFonts w:cs="AgendaPl Bold" w:ascii="Calibri" w:hAnsi="Calibri"/>
          <w:b/>
          <w:bCs/>
          <w:color w:val="0032FF"/>
          <w:sz w:val="32"/>
          <w:szCs w:val="3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gendaPl RegularCondensed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 Regular">
    <w:charset w:val="ee"/>
    <w:family w:val="roman"/>
    <w:pitch w:val="variable"/>
  </w:font>
  <w:font w:name="AgendaPl Bold">
    <w:charset w:val="ee"/>
    <w:family w:val="roman"/>
    <w:pitch w:val="variable"/>
  </w:font>
  <w:font w:name="Dutch801HdEU">
    <w:charset w:val="ee"/>
    <w:family w:val="roman"/>
    <w:pitch w:val="variable"/>
  </w:font>
  <w:font w:name="AgendaPl BoldCondensed">
    <w:charset w:val="ee"/>
    <w:family w:val="roman"/>
    <w:pitch w:val="variable"/>
  </w:font>
  <w:font w:name="Arial">
    <w:charset w:val="ee"/>
    <w:family w:val="roman"/>
    <w:pitch w:val="variable"/>
  </w:font>
  <w:font w:name="AgendaPl-Regular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left" w:pos="170" w:leader="none"/>
        <w:tab w:val="center" w:pos="4536" w:leader="none"/>
        <w:tab w:val="right" w:pos="9639" w:leader="none"/>
      </w:tabs>
      <w:spacing w:before="120" w:after="0"/>
      <w:ind w:left="-567" w:hanging="360"/>
      <w:rPr>
        <w:rFonts w:ascii="AgendaPl-Regular" w:hAnsi="AgendaPl-Regular" w:cs="AgendaPl-Regular"/>
        <w:color w:val="auto"/>
      </w:rPr>
    </w:pPr>
    <w:r>
      <w:rPr/>
      <mc:AlternateContent>
        <mc:Choice Requires="wps">
          <w:drawing>
            <wp:anchor behindDoc="1" distT="0" distB="0" distL="0" distR="0" simplePos="0" locked="0" layoutInCell="0" allowOverlap="1" relativeHeight="25" wp14:anchorId="1BA8B6DC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style="position:absolute" wp14:anchorId="1BA8B6DC">
              <v:stroke color="#f09120" weight="190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left" w:pos="170" w:leader="none"/>
        <w:tab w:val="center" w:pos="4536" w:leader="none"/>
        <w:tab w:val="right" w:pos="9639" w:leader="none"/>
      </w:tabs>
      <w:ind w:left="-567" w:right="1" w:hanging="360"/>
      <w:rPr/>
    </w:pPr>
    <w:r>
      <w:rPr/>
    </w:r>
  </w:p>
  <w:p>
    <w:pPr>
      <w:pStyle w:val="Stopka"/>
      <w:ind w:left="-1417" w:hanging="3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tabs>
        <w:tab w:val="clear" w:pos="4536"/>
        <w:tab w:val="clear" w:pos="9072"/>
        <w:tab w:val="left" w:pos="170" w:leader="none"/>
      </w:tabs>
      <w:ind w:left="-1417" w:hanging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left" w:pos="170" w:leader="none"/>
        <w:tab w:val="center" w:pos="4536" w:leader="none"/>
      </w:tabs>
      <w:spacing w:before="0" w:after="40"/>
      <w:ind w:left="142" w:right="142" w:hanging="426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-899795</wp:posOffset>
          </wp:positionH>
          <wp:positionV relativeFrom="paragraph">
            <wp:posOffset>47625</wp:posOffset>
          </wp:positionV>
          <wp:extent cx="7903210" cy="953770"/>
          <wp:effectExtent l="0" t="0" r="0" b="0"/>
          <wp:wrapNone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321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left" w:pos="170" w:leader="none"/>
        <w:tab w:val="center" w:pos="4536" w:leader="none"/>
      </w:tabs>
      <w:ind w:left="142" w:right="142" w:hanging="360"/>
      <w:rPr/>
    </w:pPr>
    <w:r>
      <w:rPr/>
    </w:r>
  </w:p>
  <w:p>
    <w:pPr>
      <w:pStyle w:val="Gwka"/>
      <w:tabs>
        <w:tab w:val="clear" w:pos="9072"/>
        <w:tab w:val="left" w:pos="170" w:leader="none"/>
        <w:tab w:val="center" w:pos="4536" w:leader="none"/>
      </w:tabs>
      <w:ind w:left="142" w:right="-283" w:hanging="360"/>
      <w:rPr/>
    </w:pPr>
    <w:r>
      <w:rPr/>
    </w:r>
  </w:p>
  <w:p>
    <w:pPr>
      <w:pStyle w:val="Gwka"/>
      <w:tabs>
        <w:tab w:val="clear" w:pos="9072"/>
        <w:tab w:val="left" w:pos="170" w:leader="none"/>
        <w:tab w:val="center" w:pos="4536" w:leader="none"/>
      </w:tabs>
      <w:ind w:left="142" w:right="-283" w:hanging="360"/>
      <w:rPr/>
    </w:pPr>
    <w:r>
      <w:rPr/>
    </w:r>
  </w:p>
  <w:p>
    <w:pPr>
      <w:pStyle w:val="Gwka"/>
      <w:tabs>
        <w:tab w:val="clear" w:pos="9072"/>
        <w:tab w:val="left" w:pos="170" w:leader="none"/>
        <w:tab w:val="center" w:pos="4536" w:leader="none"/>
      </w:tabs>
      <w:ind w:left="142" w:right="-283" w:hanging="360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cs="Arial" w:ascii="Arial" w:hAnsi="Arial"/>
        <w:b/>
        <w:color w:val="F09120"/>
      </w:rPr>
      <w:t>Biologia</w:t>
    </w:r>
    <w:r>
      <w:rPr>
        <w:rFonts w:cs="Arial" w:ascii="Arial" w:hAnsi="Arial"/>
        <w:color w:val="F09120"/>
      </w:rPr>
      <w:t xml:space="preserve"> </w:t>
    </w:r>
    <w:r>
      <w:rPr>
        <w:rFonts w:cs="Arial" w:ascii="Arial" w:hAnsi="Arial"/>
      </w:rPr>
      <w:t>| Klasa 5</w:t>
      <w:tab/>
      <w:tab/>
      <w:tab/>
      <w:tab/>
      <w:tab/>
      <w:tab/>
      <w:tab/>
      <w:tab/>
      <w:tab/>
      <w:tab/>
      <w:t xml:space="preserve">                                          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8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24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17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5f5"/>
    <w:pPr>
      <w:widowControl/>
      <w:tabs>
        <w:tab w:val="clear" w:pos="708"/>
        <w:tab w:val="left" w:pos="170" w:leader="none"/>
      </w:tabs>
      <w:suppressAutoHyphens w:val="true"/>
      <w:bidi w:val="0"/>
      <w:spacing w:lineRule="atLeast" w:line="240" w:before="0" w:after="0"/>
      <w:ind w:left="885" w:hanging="360"/>
      <w:jc w:val="left"/>
      <w:textAlignment w:val="center"/>
    </w:pPr>
    <w:rPr>
      <w:rFonts w:ascii="AgendaPl RegularCondensed" w:hAnsi="AgendaPl RegularCondensed" w:cs="AgendaPl RegularCondensed" w:eastAsia="Calibri"/>
      <w:color w:val="000000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old" w:customStyle="1">
    <w:name w:val="Bold"/>
    <w:uiPriority w:val="99"/>
    <w:qFormat/>
    <w:rsid w:val="000b75f5"/>
    <w:rPr>
      <w:b/>
      <w:bCs/>
    </w:rPr>
  </w:style>
  <w:style w:type="character" w:styleId="Italiccondensedwtabeli" w:customStyle="1">
    <w:name w:val="Italic (condensed) w tabeli"/>
    <w:uiPriority w:val="99"/>
    <w:qFormat/>
    <w:rsid w:val="000b75f5"/>
    <w:rPr>
      <w:i/>
      <w:iCs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ed6d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68" w:customStyle="1">
    <w:name w:val="Font Style68"/>
    <w:basedOn w:val="DefaultParagraphFont"/>
    <w:uiPriority w:val="99"/>
    <w:qFormat/>
    <w:rsid w:val="00ed6d91"/>
    <w:rPr>
      <w:rFonts w:ascii="Calibri" w:hAnsi="Calibri" w:cs="Calibri"/>
      <w:b/>
      <w:bCs/>
      <w:color w:val="000000"/>
      <w:sz w:val="26"/>
      <w:szCs w:val="26"/>
    </w:rPr>
  </w:style>
  <w:style w:type="character" w:styleId="FontStyle69" w:customStyle="1">
    <w:name w:val="Font Style69"/>
    <w:basedOn w:val="DefaultParagraphFont"/>
    <w:uiPriority w:val="99"/>
    <w:qFormat/>
    <w:rsid w:val="00ed6d9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70" w:customStyle="1">
    <w:name w:val="Font Style70"/>
    <w:basedOn w:val="DefaultParagraphFont"/>
    <w:uiPriority w:val="99"/>
    <w:qFormat/>
    <w:rsid w:val="00ed6d9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FontStyle67" w:customStyle="1">
    <w:name w:val="Font Style67"/>
    <w:basedOn w:val="DefaultParagraphFont"/>
    <w:uiPriority w:val="99"/>
    <w:qFormat/>
    <w:rsid w:val="00ed6d91"/>
    <w:rPr>
      <w:rFonts w:ascii="Times New Roman" w:hAnsi="Times New Roman" w:cs="Times New Roman"/>
      <w:b/>
      <w:bCs/>
      <w:i/>
      <w:iCs/>
      <w:color w:val="000000"/>
      <w:spacing w:val="50"/>
      <w:sz w:val="50"/>
      <w:szCs w:val="5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left" w:pos="170" w:leader="none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left" w:pos="170" w:leader="none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0"/>
      <w:ind w:left="720" w:hanging="360"/>
      <w:contextualSpacing/>
    </w:pPr>
    <w:rPr/>
  </w:style>
  <w:style w:type="paragraph" w:styleId="Brakstyluakapitowego" w:customStyle="1">
    <w:name w:val="[Brak stylu akapitowego]"/>
    <w:qFormat/>
    <w:rsid w:val="000b75f5"/>
    <w:pPr>
      <w:widowControl/>
      <w:bidi w:val="0"/>
      <w:spacing w:lineRule="auto" w:line="288" w:before="0" w:after="0"/>
      <w:jc w:val="left"/>
      <w:textAlignment w:val="center"/>
    </w:pPr>
    <w:rPr>
      <w:rFonts w:ascii="Minion Pro Regular" w:hAnsi="Minion Pro Regular" w:cs="Minion Pro Regular" w:eastAsia="Calibri"/>
      <w:color w:val="000000"/>
      <w:kern w:val="0"/>
      <w:sz w:val="24"/>
      <w:szCs w:val="24"/>
      <w:lang w:val="pl-PL" w:eastAsia="en-US" w:bidi="ar-SA"/>
    </w:rPr>
  </w:style>
  <w:style w:type="paragraph" w:styleId="003TytulIIrzedu1w" w:customStyle="1">
    <w:name w:val="003 Tytul II rzedu 1 w."/>
    <w:basedOn w:val="Brakstyluakapitowego"/>
    <w:uiPriority w:val="99"/>
    <w:qFormat/>
    <w:rsid w:val="000b75f5"/>
    <w:pPr>
      <w:tabs>
        <w:tab w:val="clear" w:pos="708"/>
        <w:tab w:val="left" w:pos="170" w:leader="none"/>
        <w:tab w:val="left" w:pos="340" w:leader="none"/>
        <w:tab w:val="left" w:pos="510" w:leader="none"/>
      </w:tabs>
      <w:suppressAutoHyphens w:val="true"/>
      <w:spacing w:lineRule="atLeast" w:line="320" w:before="283" w:after="113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styleId="TekstpodstawowyPORADNIK" w:customStyle="1">
    <w:name w:val="tekst podstawowy (PORADNIK)"/>
    <w:basedOn w:val="Brakstyluakapitowego"/>
    <w:uiPriority w:val="99"/>
    <w:qFormat/>
    <w:rsid w:val="000b75f5"/>
    <w:pPr>
      <w:tabs>
        <w:tab w:val="clear" w:pos="708"/>
        <w:tab w:val="left" w:pos="227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05TytuIVrzedu" w:customStyle="1">
    <w:name w:val="005 Tytuł IV rzedu"/>
    <w:basedOn w:val="Normal"/>
    <w:uiPriority w:val="99"/>
    <w:qFormat/>
    <w:rsid w:val="000b75f5"/>
    <w:pPr>
      <w:tabs>
        <w:tab w:val="left" w:pos="170" w:leader="none"/>
        <w:tab w:val="left" w:pos="340" w:leader="none"/>
        <w:tab w:val="left" w:pos="510" w:leader="none"/>
      </w:tabs>
      <w:suppressAutoHyphens w:val="false"/>
      <w:spacing w:lineRule="atLeast" w:line="320" w:before="283" w:after="0"/>
      <w:ind w:left="0" w:hanging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styleId="TabelanumerykolumnPORADNIK" w:customStyle="1">
    <w:name w:val="tabela - numery kolumn (PORADNIK)"/>
    <w:basedOn w:val="Brakstyluakapitowego"/>
    <w:uiPriority w:val="99"/>
    <w:qFormat/>
    <w:rsid w:val="000b75f5"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styleId="TabelaglowkaPORADNIK" w:customStyle="1">
    <w:name w:val="tabela glowka (PORADNIK)"/>
    <w:basedOn w:val="Brakstyluakapitowego"/>
    <w:uiPriority w:val="99"/>
    <w:qFormat/>
    <w:rsid w:val="000b75f5"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abelatekstPORADNIK" w:customStyle="1">
    <w:name w:val="tabela tekst (PORADNIK)"/>
    <w:basedOn w:val="Brakstyluakapitowego"/>
    <w:uiPriority w:val="99"/>
    <w:qFormat/>
    <w:rsid w:val="000b75f5"/>
    <w:pPr>
      <w:suppressAutoHyphens w:val="true"/>
      <w:spacing w:lineRule="atLeast" w:line="240"/>
    </w:pPr>
    <w:rPr>
      <w:rFonts w:ascii="AgendaPl RegularCondensed" w:hAnsi="AgendaPl RegularCondensed" w:cs="AgendaPl RegularCondensed"/>
      <w:sz w:val="20"/>
      <w:szCs w:val="20"/>
    </w:rPr>
  </w:style>
  <w:style w:type="paragraph" w:styleId="Mojepunkty1" w:customStyle="1">
    <w:name w:val="moje punkty_1"/>
    <w:qFormat/>
    <w:rsid w:val="000b75f5"/>
    <w:pPr>
      <w:widowControl/>
      <w:numPr>
        <w:ilvl w:val="0"/>
        <w:numId w:val="1"/>
      </w:numPr>
      <w:tabs>
        <w:tab w:val="clear" w:pos="708"/>
        <w:tab w:val="left" w:pos="170" w:leader="none"/>
      </w:tabs>
      <w:bidi w:val="0"/>
      <w:spacing w:lineRule="auto" w:line="240" w:before="0" w:after="120"/>
      <w:ind w:left="170" w:hanging="170"/>
      <w:contextualSpacing/>
      <w:jc w:val="left"/>
    </w:pPr>
    <w:rPr>
      <w:rFonts w:ascii="Arial" w:hAnsi="Arial" w:cs="AgendaPl RegularCondensed" w:eastAsia="Calibri"/>
      <w:color w:val="000000"/>
      <w:kern w:val="0"/>
      <w:sz w:val="18"/>
      <w:szCs w:val="20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d6d91"/>
    <w:pPr>
      <w:widowControl w:val="false"/>
      <w:tabs>
        <w:tab w:val="clear" w:pos="170"/>
      </w:tabs>
      <w:suppressAutoHyphens w:val="false"/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Style61" w:customStyle="1">
    <w:name w:val="Style6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e21" w:customStyle="1">
    <w:name w:val="Style21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e45" w:customStyle="1">
    <w:name w:val="Style45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exact" w:line="274"/>
      <w:ind w:left="0" w:firstLine="250"/>
      <w:jc w:val="both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e71" w:customStyle="1">
    <w:name w:val="Style7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exact" w:line="276"/>
      <w:ind w:left="0" w:hanging="0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e42" w:customStyle="1">
    <w:name w:val="Style42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exact" w:line="230"/>
      <w:ind w:left="0" w:hanging="72"/>
      <w:jc w:val="both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Tabelatekstpodstawowykropatabele" w:customStyle="1">
    <w:name w:val="tabela - tekst podstawowy kropa (tabele)"/>
    <w:basedOn w:val="Normal"/>
    <w:uiPriority w:val="99"/>
    <w:qFormat/>
    <w:rsid w:val="00ed6d91"/>
    <w:pPr>
      <w:tabs>
        <w:tab w:val="clear" w:pos="170"/>
      </w:tabs>
      <w:suppressAutoHyphens w:val="false"/>
      <w:spacing w:lineRule="atLeast" w:line="230"/>
      <w:ind w:left="170" w:hanging="170"/>
      <w:textAlignment w:val="auto"/>
    </w:pPr>
    <w:rPr>
      <w:rFonts w:eastAsia="Calibri"/>
      <w:w w:val="97"/>
    </w:rPr>
  </w:style>
  <w:style w:type="paragraph" w:styleId="Style28" w:customStyle="1">
    <w:name w:val="Style28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NoSpacing">
    <w:name w:val="No Spacing"/>
    <w:uiPriority w:val="1"/>
    <w:qFormat/>
    <w:rsid w:val="00ed6d9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Default" w:customStyle="1">
    <w:name w:val="Default"/>
    <w:qFormat/>
    <w:rsid w:val="00ed6d9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B9C1-5F00-4F6B-AD33-9022BA5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LibreOffice/7.0.2.2$Windows_X86_64 LibreOffice_project/8349ace3c3162073abd90d81fd06dcfb6b36b994</Application>
  <Pages>8</Pages>
  <Words>1933</Words>
  <Characters>13266</Characters>
  <CharactersWithSpaces>14898</CharactersWithSpaces>
  <Paragraphs>227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2018-05-04T11:24:00Z</dcterms:created>
  <dc:creator>Marta Jedlinska</dc:creator>
  <dc:description/>
  <dc:language>pl-PL</dc:language>
  <cp:lastModifiedBy/>
  <dcterms:modified xsi:type="dcterms:W3CDTF">2024-04-23T09:31:42Z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