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52D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5C31BD2" wp14:editId="690F1F54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857A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B79D4" w14:textId="77777777"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1"/>
        <w:gridCol w:w="4521"/>
      </w:tblGrid>
      <w:tr w:rsidR="003C2E38" w14:paraId="0BB1657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920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0D55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14:paraId="280664F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20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0A2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5902FE0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64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AD3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78ED2363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633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883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542827C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7916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F07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49CE0641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08F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51D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14:paraId="0494EFA7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DAF4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FB2" w14:textId="5F2213F0" w:rsidR="003C2E38" w:rsidRDefault="00A86222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12. 06</w:t>
            </w:r>
            <w:r w:rsidR="00B3601E">
              <w:rPr>
                <w:rFonts w:ascii="Times New Roman" w:hAnsi="Times New Roman"/>
              </w:rPr>
              <w:t xml:space="preserve">. 2023 </w:t>
            </w:r>
            <w:r w:rsidR="003C2E38">
              <w:rPr>
                <w:rFonts w:ascii="Times New Roman" w:hAnsi="Times New Roman"/>
              </w:rPr>
              <w:t>- Pondelok párny týždeň</w:t>
            </w:r>
          </w:p>
        </w:tc>
      </w:tr>
      <w:tr w:rsidR="003C2E38" w14:paraId="534743BF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0EE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B3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14:paraId="014E0672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46B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0B8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3C2E38" w14:paraId="4B90A15E" w14:textId="77777777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E7D5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47E" w14:textId="77777777" w:rsidR="003C2E38" w:rsidRDefault="00AA0F8D" w:rsidP="007F0AF2">
            <w:pPr>
              <w:pStyle w:val="TableParagraph"/>
              <w:rPr>
                <w:lang w:val="sk-SK"/>
              </w:rPr>
            </w:pPr>
            <w:hyperlink r:id="rId6">
              <w:r w:rsidR="003C2E38">
                <w:rPr>
                  <w:rStyle w:val="Internetovodkaz"/>
                  <w:rFonts w:eastAsiaTheme="majorEastAsia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068B717D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 w:firstRow="1" w:lastRow="0" w:firstColumn="1" w:lastColumn="0" w:noHBand="0" w:noVBand="0"/>
      </w:tblPr>
      <w:tblGrid>
        <w:gridCol w:w="9071"/>
      </w:tblGrid>
      <w:tr w:rsidR="003C2E38" w14:paraId="2FBEBE98" w14:textId="77777777" w:rsidTr="00B3203E">
        <w:trPr>
          <w:trHeight w:val="565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FD3" w14:textId="47A84A9F" w:rsidR="003C2E38" w:rsidRPr="00287E4C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34F28">
              <w:rPr>
                <w:rFonts w:ascii="Times New Roman" w:hAnsi="Times New Roman"/>
                <w:b/>
              </w:rPr>
              <w:t>Manažérske zhrnutie:</w:t>
            </w:r>
          </w:p>
          <w:p w14:paraId="2B907E59" w14:textId="77777777" w:rsidR="00287E4C" w:rsidRPr="00287E4C" w:rsidRDefault="00287E4C" w:rsidP="00287E4C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CA2C43" w14:textId="1E10BF70" w:rsidR="00E637BD" w:rsidRPr="00E07C60" w:rsidRDefault="003C2E38" w:rsidP="00010248">
            <w:pPr>
              <w:jc w:val="both"/>
              <w:rPr>
                <w:rFonts w:ascii="Times New Roman" w:hAnsi="Times New Roman"/>
              </w:rPr>
            </w:pPr>
            <w:r w:rsidRPr="00010248">
              <w:rPr>
                <w:b/>
                <w:i/>
              </w:rPr>
              <w:t>Stručná anotácia:</w:t>
            </w:r>
            <w:r w:rsidRPr="00034F28">
              <w:t xml:space="preserve"> </w:t>
            </w:r>
            <w:r w:rsidR="00010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Pre  úspech  v  práci,  ale  aj  v  živote,  býva  už  často  dôležitejšia  schopnosť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jednotlivca  dobre  spolupracovať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>,  komunikova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 xml:space="preserve">s  inými  ľuďmi,  ako  jeho  odborné  znalosti.  Škola  skôr  naučí vedomosti  a  zručnosti  vo  vednom  odbore  –  profesijné  kompetencie  (ľahšie  sa  rozvíjajú,  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merajú,  ale  aj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rýchlejšie  sa  míňajú)  ako  schopnosti  a  postoje jednotlivca,  jeho  pripravenosť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pre  kvalitu  života  –  kľúčové  kompetencie  (čo  sa  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ažšie  rozvíja  i  meria,  ale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sú  trvácnejšie).  Preto sa kľúčové kompetencie dostávajú do ce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ntra pozornosti všetkých, ktorí 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>chcú prispôsobiť</w:t>
            </w:r>
            <w:r w:rsidR="00010248" w:rsidRPr="00E07C6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010248" w:rsidRPr="00096B30">
              <w:rPr>
                <w:rFonts w:ascii="Times New Roman" w:eastAsia="Times New Roman" w:hAnsi="Times New Roman"/>
                <w:lang w:eastAsia="sk-SK"/>
              </w:rPr>
              <w:t xml:space="preserve">vzdelávací systém (nielen) potrebám trhu práce. Význam ich rozvíjania vedie k strategickým cieľom nielen v oblasti vzdelávacích programov, ale aj oblasti </w:t>
            </w:r>
            <w:proofErr w:type="spellStart"/>
            <w:r w:rsidR="00010248" w:rsidRPr="00096B30">
              <w:rPr>
                <w:rFonts w:ascii="Times New Roman" w:eastAsia="Times New Roman" w:hAnsi="Times New Roman"/>
                <w:lang w:eastAsia="sk-SK"/>
              </w:rPr>
              <w:t>zamestnateľnosti</w:t>
            </w:r>
            <w:proofErr w:type="spellEnd"/>
            <w:r w:rsidR="00010248" w:rsidRPr="00096B30">
              <w:rPr>
                <w:rFonts w:ascii="Times New Roman" w:eastAsia="Times New Roman" w:hAnsi="Times New Roman"/>
                <w:lang w:eastAsia="sk-SK"/>
              </w:rPr>
              <w:t xml:space="preserve"> jednotlivcov. </w:t>
            </w:r>
          </w:p>
          <w:p w14:paraId="5B0A4767" w14:textId="34866B2B" w:rsidR="00010248" w:rsidRPr="00E07C60" w:rsidRDefault="003C2E38" w:rsidP="00E637BD">
            <w:pPr>
              <w:jc w:val="both"/>
              <w:rPr>
                <w:rFonts w:ascii="Times New Roman" w:hAnsi="Times New Roman"/>
              </w:rPr>
            </w:pPr>
            <w:r w:rsidRPr="00E07C60">
              <w:rPr>
                <w:b/>
                <w:i/>
              </w:rPr>
              <w:t>Kľúčové slová</w:t>
            </w:r>
            <w:r w:rsidRPr="00E07C60">
              <w:t xml:space="preserve">:  </w:t>
            </w:r>
            <w:r w:rsidR="00010248" w:rsidRPr="00E07C60">
              <w:rPr>
                <w:color w:val="000000"/>
                <w:shd w:val="clear" w:color="auto" w:fill="FFFFFF"/>
              </w:rPr>
              <w:t> </w:t>
            </w:r>
            <w:r w:rsidR="00010248" w:rsidRPr="00E07C60">
              <w:rPr>
                <w:rFonts w:ascii="Times New Roman" w:hAnsi="Times New Roman"/>
                <w:shd w:val="clear" w:color="auto" w:fill="FFFFFF"/>
              </w:rPr>
              <w:t>gramotnosť , viacjazyčnosť, matematické vedomosti a vedomosti v oblasti prírodných vied a inžinierstva ,  digitálne kompetencie a kompetencie v oblasti technológií</w:t>
            </w:r>
            <w:r w:rsidR="00010248" w:rsidRPr="00E07C60">
              <w:rPr>
                <w:rFonts w:ascii="Times New Roman" w:hAnsi="Times New Roman"/>
              </w:rPr>
              <w:t xml:space="preserve">, </w:t>
            </w:r>
            <w:r w:rsidR="00010248" w:rsidRPr="00E07C60">
              <w:rPr>
                <w:rFonts w:ascii="Times New Roman" w:hAnsi="Times New Roman"/>
                <w:shd w:val="clear" w:color="auto" w:fill="FFFFFF"/>
              </w:rPr>
              <w:t xml:space="preserve">zručnosti v oblasti medziľudských vzťahov a schopnosť nadobúdať nové kompetencie , aktívne občianstvo, </w:t>
            </w:r>
            <w:r w:rsidR="00010248" w:rsidRPr="00E07C60">
              <w:rPr>
                <w:rFonts w:ascii="Times New Roman" w:hAnsi="Times New Roman"/>
              </w:rPr>
              <w:br/>
            </w:r>
            <w:r w:rsidR="00010248" w:rsidRPr="00E07C60">
              <w:rPr>
                <w:rFonts w:ascii="Times New Roman" w:hAnsi="Times New Roman"/>
                <w:shd w:val="clear" w:color="auto" w:fill="FFFFFF"/>
              </w:rPr>
              <w:t>podnikateľské myslenie  kultúrne povedomie a vyjadrovanie</w:t>
            </w:r>
            <w:r w:rsidR="00010248" w:rsidRPr="00E07C6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010248" w:rsidRPr="00E07C60">
              <w:rPr>
                <w:rFonts w:ascii="Times New Roman" w:hAnsi="Times New Roman"/>
                <w:shd w:val="clear" w:color="auto" w:fill="FFFFFF"/>
              </w:rPr>
              <w:t>Európska dimenzia vzdelávania</w:t>
            </w:r>
          </w:p>
          <w:p w14:paraId="19676C9F" w14:textId="251CC04E" w:rsidR="001808EA" w:rsidRPr="00A10FCB" w:rsidRDefault="005B2E96" w:rsidP="00454558">
            <w:pPr>
              <w:pStyle w:val="TableParagraph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. </w:t>
            </w:r>
          </w:p>
        </w:tc>
      </w:tr>
      <w:tr w:rsidR="003C2E38" w14:paraId="3964A7AE" w14:textId="77777777" w:rsidTr="00B3203E">
        <w:trPr>
          <w:trHeight w:val="5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861" w14:textId="77777777" w:rsidR="00287E4C" w:rsidRPr="00287E4C" w:rsidRDefault="00287E4C" w:rsidP="00287E4C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A294DA" w14:textId="6038F112" w:rsidR="003C2E38" w:rsidRPr="00E637BD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7BD">
              <w:rPr>
                <w:rFonts w:ascii="Times New Roman" w:hAnsi="Times New Roman"/>
                <w:b/>
                <w:sz w:val="24"/>
                <w:szCs w:val="24"/>
              </w:rPr>
              <w:t>Hlavné body,</w:t>
            </w:r>
            <w:r w:rsidR="00362A25" w:rsidRPr="00E637BD">
              <w:rPr>
                <w:rFonts w:ascii="Times New Roman" w:hAnsi="Times New Roman"/>
                <w:b/>
                <w:sz w:val="24"/>
                <w:szCs w:val="24"/>
              </w:rPr>
              <w:t xml:space="preserve"> témy stretnutia, zhrnutie priebehu</w:t>
            </w:r>
            <w:r w:rsidRPr="00E637BD">
              <w:rPr>
                <w:rFonts w:ascii="Times New Roman" w:hAnsi="Times New Roman"/>
                <w:b/>
                <w:sz w:val="24"/>
                <w:szCs w:val="24"/>
              </w:rPr>
              <w:t xml:space="preserve"> stretnutia:</w:t>
            </w:r>
          </w:p>
          <w:p w14:paraId="0584FDE5" w14:textId="77777777" w:rsidR="00E637BD" w:rsidRPr="00E637BD" w:rsidRDefault="00E637BD" w:rsidP="00E637BD">
            <w:pPr>
              <w:pStyle w:val="TableParagraph"/>
            </w:pPr>
            <w:r w:rsidRPr="00E637BD">
              <w:t xml:space="preserve">-  kľúčové kompetencie pre celoživotné vzdelávanie </w:t>
            </w:r>
          </w:p>
          <w:p w14:paraId="2A0C7C12" w14:textId="77777777" w:rsidR="00E637BD" w:rsidRDefault="00E637BD" w:rsidP="00E637BD">
            <w:pPr>
              <w:pStyle w:val="TableParagraph"/>
            </w:pPr>
            <w:r w:rsidRPr="00E637BD">
              <w:t>- zručnosť pre Európu</w:t>
            </w:r>
          </w:p>
          <w:p w14:paraId="3ACA8488" w14:textId="3C008486" w:rsidR="00E637BD" w:rsidRPr="00E637BD" w:rsidRDefault="00E637BD" w:rsidP="00E637BD">
            <w:pPr>
              <w:pStyle w:val="TableParagraph"/>
            </w:pPr>
            <w:r w:rsidRPr="00E637BD">
              <w:t>- digitálne vzdelávanie</w:t>
            </w:r>
          </w:p>
          <w:p w14:paraId="064B16E6" w14:textId="77777777" w:rsidR="00E637BD" w:rsidRPr="00E637BD" w:rsidRDefault="00E637BD" w:rsidP="00E637BD">
            <w:pPr>
              <w:pStyle w:val="TableParagraph"/>
            </w:pPr>
            <w:r w:rsidRPr="00E637BD">
              <w:t>- digitálne zručnosti</w:t>
            </w:r>
          </w:p>
          <w:p w14:paraId="09BA1F98" w14:textId="77777777" w:rsidR="00E637BD" w:rsidRPr="00E637BD" w:rsidRDefault="00E637BD" w:rsidP="00E637BD">
            <w:pPr>
              <w:pStyle w:val="TableParagraph"/>
            </w:pPr>
            <w:r w:rsidRPr="00E637BD">
              <w:t>- viacjazyčnosť</w:t>
            </w:r>
          </w:p>
          <w:p w14:paraId="445AB9E0" w14:textId="77777777" w:rsidR="00E637BD" w:rsidRPr="00E637BD" w:rsidRDefault="00E637BD" w:rsidP="00E637BD">
            <w:pPr>
              <w:pStyle w:val="TableParagraph"/>
            </w:pPr>
            <w:r w:rsidRPr="00E637BD">
              <w:t>- všeobecné zručnosti</w:t>
            </w:r>
          </w:p>
          <w:p w14:paraId="2610CDE7" w14:textId="77777777" w:rsidR="0017185E" w:rsidRDefault="0017185E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6C41D49D" w14:textId="77777777" w:rsidR="00E637BD" w:rsidRDefault="00E637BD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18CB1AF3" w14:textId="77777777" w:rsidR="00E07C60" w:rsidRDefault="00E07C60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038CEEE7" w14:textId="77777777" w:rsidR="00E637BD" w:rsidRDefault="00E637BD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0B5C4C5" w14:textId="77777777" w:rsidR="00E637BD" w:rsidRPr="00034F28" w:rsidRDefault="00E637BD" w:rsidP="001808EA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88A232D" w14:textId="649AE079" w:rsidR="003C2E38" w:rsidRPr="00034F28" w:rsidRDefault="003C2E38" w:rsidP="0017185E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F28">
              <w:rPr>
                <w:rFonts w:ascii="Times New Roman" w:hAnsi="Times New Roman"/>
                <w:b/>
                <w:bCs/>
              </w:rPr>
              <w:lastRenderedPageBreak/>
              <w:t>Téma stretnutia</w:t>
            </w:r>
          </w:p>
          <w:p w14:paraId="422E70FF" w14:textId="72625F0D" w:rsidR="00287E4C" w:rsidRPr="00E07C60" w:rsidRDefault="00A86222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E07C60">
              <w:rPr>
                <w:sz w:val="24"/>
                <w:szCs w:val="24"/>
                <w:lang w:val="sk-SK"/>
              </w:rPr>
              <w:t>Výmena skúsenosti s využitím didaktických postupov a metód orientovaných na rozvoj kľúčových kompetencií</w:t>
            </w:r>
            <w:r w:rsidRPr="00E07C60">
              <w:rPr>
                <w:rFonts w:eastAsiaTheme="minorHAnsi"/>
                <w:b/>
                <w:bCs/>
                <w:lang w:val="sk-SK"/>
              </w:rPr>
              <w:t xml:space="preserve"> </w:t>
            </w:r>
          </w:p>
          <w:p w14:paraId="1876D414" w14:textId="77777777" w:rsidR="00E07C60" w:rsidRPr="00A86222" w:rsidRDefault="00E07C60" w:rsidP="007F0AF2">
            <w:pPr>
              <w:pStyle w:val="TableParagraph"/>
              <w:jc w:val="both"/>
              <w:rPr>
                <w:rFonts w:eastAsiaTheme="minorHAnsi"/>
                <w:b/>
                <w:bCs/>
                <w:color w:val="FF0000"/>
                <w:lang w:val="sk-SK"/>
              </w:rPr>
            </w:pPr>
          </w:p>
          <w:p w14:paraId="0DFCB77B" w14:textId="407A903C" w:rsidR="003C2E38" w:rsidRPr="00034F28" w:rsidRDefault="0093199E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034F28">
              <w:rPr>
                <w:rFonts w:eastAsiaTheme="minorHAnsi"/>
                <w:b/>
                <w:bCs/>
                <w:lang w:val="sk-SK"/>
              </w:rPr>
              <w:t xml:space="preserve">13. </w:t>
            </w:r>
            <w:r w:rsidR="003C2E38" w:rsidRPr="00034F28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14:paraId="2BE9E16D" w14:textId="42D5A063" w:rsidR="00E07C60" w:rsidRPr="00632714" w:rsidRDefault="00E07C60" w:rsidP="00E07C60">
            <w:pPr>
              <w:shd w:val="clear" w:color="auto" w:fill="FFFFFF"/>
              <w:spacing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Pre </w:t>
            </w:r>
            <w:hyperlink r:id="rId7" w:history="1">
              <w:r w:rsidRPr="008C3531">
                <w:rPr>
                  <w:rFonts w:ascii="Times New Roman" w:eastAsia="Times New Roman" w:hAnsi="Times New Roman"/>
                  <w:lang w:eastAsia="sk-SK"/>
                </w:rPr>
                <w:t>kvalitné</w:t>
              </w:r>
            </w:hyperlink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 a </w:t>
            </w:r>
            <w:proofErr w:type="spellStart"/>
            <w:r w:rsidRPr="00632714">
              <w:rPr>
                <w:rFonts w:ascii="Times New Roman" w:eastAsia="Times New Roman" w:hAnsi="Times New Roman"/>
                <w:u w:val="single"/>
                <w:lang w:eastAsia="sk-SK"/>
              </w:rPr>
              <w:fldChar w:fldCharType="begin"/>
            </w:r>
            <w:r w:rsidRPr="00632714">
              <w:rPr>
                <w:rFonts w:ascii="Times New Roman" w:eastAsia="Times New Roman" w:hAnsi="Times New Roman"/>
                <w:u w:val="single"/>
                <w:lang w:eastAsia="sk-SK"/>
              </w:rPr>
              <w:instrText xml:space="preserve"> HYPERLINK "https://ec.europa.eu/education/policies/european-policy-cooperation/inclusive-education_sk" </w:instrText>
            </w:r>
            <w:r w:rsidRPr="00632714">
              <w:rPr>
                <w:rFonts w:ascii="Times New Roman" w:eastAsia="Times New Roman" w:hAnsi="Times New Roman"/>
                <w:u w:val="single"/>
                <w:lang w:eastAsia="sk-SK"/>
              </w:rPr>
              <w:fldChar w:fldCharType="separate"/>
            </w:r>
            <w:r w:rsidRPr="008C3531">
              <w:rPr>
                <w:rFonts w:ascii="Times New Roman" w:eastAsia="Times New Roman" w:hAnsi="Times New Roman"/>
                <w:u w:val="single"/>
                <w:lang w:eastAsia="sk-SK"/>
              </w:rPr>
              <w:t>inkluzívne</w:t>
            </w:r>
            <w:proofErr w:type="spellEnd"/>
            <w:r w:rsidRPr="00632714">
              <w:rPr>
                <w:rFonts w:ascii="Times New Roman" w:eastAsia="Times New Roman" w:hAnsi="Times New Roman"/>
                <w:u w:val="single"/>
                <w:lang w:eastAsia="sk-SK"/>
              </w:rPr>
              <w:fldChar w:fldCharType="end"/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 vzdelávanie, odbornú prípravu a celoživotné vzdelávanie, ktoré rozvíja kľúčové kompetencie a základné zručnosti by mal mať právo každý človek. Kľúčové kompetencie a základné zručnosti potrebuje každý z nás pre osobné </w:t>
            </w:r>
            <w:r w:rsidRPr="00632714">
              <w:rPr>
                <w:rFonts w:ascii="Times New Roman" w:eastAsia="Times New Roman" w:hAnsi="Times New Roman"/>
                <w:lang w:eastAsia="sk-SK"/>
              </w:rPr>
              <w:t>uspokojenie</w:t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a rozvoj,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zamestnateľnosť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, spoločenské začlenenie a aktívne občianstvo 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.</w:t>
            </w:r>
          </w:p>
          <w:p w14:paraId="4679E073" w14:textId="77777777" w:rsidR="00E07C60" w:rsidRPr="008C3531" w:rsidRDefault="00E07C60" w:rsidP="00E07C60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P</w:t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ojem „kompetencia“ zaviedol do vedeckého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diskurzu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ligvistik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Noam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Chomský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v šesťdesiatych rokoch minulého storočia. Definoval kompetenciu ako mentálnu schopnosť rodeného hovorcu (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native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speaker) vytvárať na základe znalosti gramatických pravidiel nekonečné množstvo viet príslušného jazyka, resp. na základe tejto znalosti tieto vety prijímať od iných hovorcov a interpretovať ich. </w:t>
            </w:r>
          </w:p>
          <w:p w14:paraId="4CA46B0D" w14:textId="4DA0162E" w:rsidR="00E07C60" w:rsidRPr="00632714" w:rsidRDefault="00E07C60" w:rsidP="00E07C60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V posledných dvoch desaťročiach sa pojem (kľúčové) kompetencie rozšíril zo sféry odborného vzdelávania do všetkých vzdelávacích oblastí. Dnes sú kompetencie včlenené ako základné cieľové kategórie do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kurikulárnych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dokumentov všetkých vyspelých krajín, operujú s nimi didaktické modely vzdelávania, rôznych predmetov a odborov a stali sa i súčasťou merania vzdelávacích výsledkov žiakov a študentov v medzinárodných meraniach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. </w:t>
            </w:r>
          </w:p>
          <w:p w14:paraId="5978CB18" w14:textId="6EBE8461" w:rsidR="00E07C60" w:rsidRPr="00632714" w:rsidRDefault="00E07C60" w:rsidP="00E07C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noProof/>
                <w:color w:val="262526"/>
                <w:lang w:eastAsia="sk-SK"/>
              </w:rPr>
              <mc:AlternateContent>
                <mc:Choice Requires="wps">
                  <w:drawing>
                    <wp:inline distT="0" distB="0" distL="0" distR="0" wp14:anchorId="6BD4B657" wp14:editId="5A6412FA">
                      <wp:extent cx="304800" cy="304800"/>
                      <wp:effectExtent l="0" t="0" r="0" b="0"/>
                      <wp:docPr id="4" name="Obdĺžnik 4" descr="Stiahnut_1_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65C81" id="Obdĺžnik 4" o:spid="_x0000_s1026" alt="Stiahnut_1_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PRRQ8sCAADN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Kľúčové kompetencie, samy o sebe, sú obsahovo neutrálne, pretože sú použiteľné na ľubovoľný obsah. Ich sprostredkovanie je však vždy nutne viazané na konkrétny obsah. Nadobúdanie a rozvíjanie kľúčových kompetencií je celoživotný proces. Ak má byť vzdelávanie príležitosťou pre nadobúdanie a následné rozvíjanie kompetencií, bez ohľadu na to, aké vzdelávanie a výchovu učiaci sa  potrebujú, panuje zhoda v jednej veci: je potrebné sa zamerať predovšetkým na univerzálne, flexibilné a trvalo udržateľné kompetencie. Systém formálneho i neformálneho vzdelávania by mali prispieť k tomu, aby boli mladí ľudia vybavení pre celoživotné vzdelávanie, aby mali schopnosti a spôsobilosti „dohliadnuť samy na seba“ – posúdiť, akým spôsobom a ako efektívne sa učia, a ďalej tieto spôsobilosti a schopnosti rozvíjať ako vo formálnom, neformálnom vzdelávaní, tak i v bežných životných situáciách. Ide teda o to, aby boli v systémoch vzdelávania vytvárané príležitosti k tomu, aby boli učiaci sa jedinci podnecovaní k ďalšiemu učeniu, aby si osvojovali vedomosti, zručnosti, schopnosti a postoje dôležité pre motiváciu k učeniu, úspechu a napredovaniu v učení.</w:t>
            </w:r>
          </w:p>
          <w:p w14:paraId="0A1447AA" w14:textId="77777777" w:rsidR="00E07C60" w:rsidRPr="00632714" w:rsidRDefault="00E07C60" w:rsidP="00E07C60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V európskom kontexte sa každoročne realizujú medzinárodné porovnania meraní kľúčových kompetencií a úrovne gramotnosti v dôležitých oblastiach rozvoja osobnosti človeka. Výsledky týchto meraní však nie sú uspokojivé. 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Poukazujú</w:t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na to, že viac ako každý piaty žiak v EÚ má vážne problémy s čítaním, matematikou alebo prírodnými vedami. V roku 2018 dosiahla miera slabých výsledkov v čítaní 21,7 %, v matematike 22,4 % a v prírodných vedách 21,6 %. V období 2009 – 2018 sa výsledky v prírodných vedách a v čítaní na úrovni EÚ zhoršili, pričom v matematike zostali rovnaké 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.</w:t>
            </w:r>
          </w:p>
          <w:p w14:paraId="69ACDB77" w14:textId="77777777" w:rsidR="00E07C60" w:rsidRPr="008C3531" w:rsidRDefault="00E07C60" w:rsidP="00E07C60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u w:val="single"/>
                <w:lang w:eastAsia="sk-SK"/>
              </w:rPr>
            </w:pPr>
            <w:r w:rsidRPr="00632714">
              <w:rPr>
                <w:rFonts w:ascii="Times New Roman" w:eastAsia="Times New Roman" w:hAnsi="Times New Roman"/>
                <w:color w:val="262526"/>
                <w:u w:val="single"/>
                <w:lang w:eastAsia="sk-SK"/>
              </w:rPr>
              <w:lastRenderedPageBreak/>
              <w:t>Kľúčové kompetencie pre celoživotné vzdelávanie</w:t>
            </w:r>
          </w:p>
          <w:p w14:paraId="29175736" w14:textId="1BA7965A" w:rsidR="00E07C60" w:rsidRPr="008C3531" w:rsidRDefault="00E07C60" w:rsidP="00E07C6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62526"/>
                <w:u w:val="single"/>
                <w:lang w:eastAsia="sk-SK"/>
              </w:rPr>
            </w:pP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Kľúčové kompetencie sú kombináciou vedomostí, zručností a postojov. Vedomosť je extrahované z obsahu a koncipovaná na základe faktov, čísel, myšlienok, teórií, ktorú sú stabilizované a podporujú porozumenie v súčasnej oblasti poznania, vedy a predmetov. Zručnosť je definovaná ako schopnosť vykonávať procesy a využívať existujúce vedomosti na dosiahnutie výsledkov. Postoje popisujú dispozíciu a spôsob myslenia, ktorým reagujeme na myšlienky, osoby alebo situácie. Kľúčové zručnosti sa rozvíjajú počas celého života prostredníctvom formálneho, neformálneho a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informálneho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vzdelávania v rôznych prostrediach vrátane rodiny, školy, pracoviska, susedstva a ďalších komunít. Všetky kľúčové kompetencie sa považujú za rovnako dôležité a aspekty nevyhnutné pre jednu oblasť podporia rozvoj kompetencií v inej oblasti. Napríklad zručnosti ako kritické myslenie, riešenie problémov, tímová práca, komunikácia, tvorivosť, vyjednávacie, analytické a </w:t>
            </w:r>
            <w:proofErr w:type="spellStart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medzikultúrne</w:t>
            </w:r>
            <w:proofErr w:type="spellEnd"/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 xml:space="preserve"> zručnosti sú zakomponované do kľúčových kompetencií. 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J</w:t>
            </w:r>
            <w:r w:rsidRPr="00632714">
              <w:rPr>
                <w:rFonts w:ascii="Times New Roman" w:eastAsia="Times New Roman" w:hAnsi="Times New Roman"/>
                <w:color w:val="262526"/>
                <w:lang w:eastAsia="sk-SK"/>
              </w:rPr>
              <w:t>e vymedzených osem kľúčových kompetencií: kompetencia v oblasti gramotnosti, viacjazyčná spôsobilosť, matematická kompetencia a spôsobilosť v oblasti vedy, techniky a strojárstva, digitálna kompetencia, osobnostná, sociálna a vzdelávacia schopnosť učiť sa, občianska kompetencia, podnikateľská kompetencia, kultúrne poved</w:t>
            </w:r>
            <w:r w:rsidRPr="008C3531">
              <w:rPr>
                <w:rFonts w:ascii="Times New Roman" w:eastAsia="Times New Roman" w:hAnsi="Times New Roman"/>
                <w:color w:val="262526"/>
                <w:lang w:eastAsia="sk-SK"/>
              </w:rPr>
              <w:t>omie a kompetencia komunikačná .</w:t>
            </w:r>
          </w:p>
          <w:p w14:paraId="7F797B4C" w14:textId="77777777" w:rsidR="00E07C60" w:rsidRPr="008C3531" w:rsidRDefault="00E07C60" w:rsidP="00E07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  <w:r w:rsidRPr="0004426E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 xml:space="preserve">Akčný plán digitálneho vzdelávania </w:t>
            </w:r>
          </w:p>
          <w:p w14:paraId="727C022D" w14:textId="77777777" w:rsidR="00E07C60" w:rsidRPr="008C3531" w:rsidRDefault="00E07C60" w:rsidP="00E07C6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>P</w:t>
            </w:r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onúka dlhodobú strategickú víziu pre </w:t>
            </w:r>
            <w:proofErr w:type="spellStart"/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>inkluzívne</w:t>
            </w:r>
            <w:proofErr w:type="spellEnd"/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dostupné európske digitálne vzdelávanie vysokej kvality, rieši výzvy a príležitosti vyplývajúce z pandémie COVID-19, ktorá viedla k bezprecedentnému využívaniu technológie na účely vzdelávania a odbornej prípravy, usiluje sa o užšiu spoluprácu v oblasti digitálneho vzdelávania na úrovni EÚ a zdôrazňuje význam spolupráce medzi sektormi s cieľom posunúť vzdelávanie do digitálneho </w:t>
            </w:r>
            <w:proofErr w:type="spellStart"/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>veku,predstavuje</w:t>
            </w:r>
            <w:proofErr w:type="spellEnd"/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príležitosti vrátane zlepšenia kvality a kvantity vyučovania v súvislosti s digitálnymi technológiami, podpory digitalizácie metodiky vyučovania a pedagogických postupov, ako</w:t>
            </w:r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>ako</w:t>
            </w:r>
            <w:proofErr w:type="spellEnd"/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aj poskytovania infraštruktúry potrebnej na </w:t>
            </w:r>
            <w:proofErr w:type="spellStart"/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>inkluzívne</w:t>
            </w:r>
            <w:proofErr w:type="spellEnd"/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stabilné dištančné vzdelávanie.</w:t>
            </w:r>
          </w:p>
          <w:p w14:paraId="1A6C6406" w14:textId="77777777" w:rsidR="00E07C60" w:rsidRPr="0004426E" w:rsidRDefault="00E07C60" w:rsidP="00E07C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>Na dosiahnutie týchto cieľov sú v akčnom pláne stanovené </w:t>
            </w:r>
            <w:r w:rsidRPr="008C3531">
              <w:rPr>
                <w:rFonts w:ascii="Times New Roman" w:eastAsia="Times New Roman" w:hAnsi="Times New Roman"/>
                <w:bCs/>
                <w:color w:val="000000"/>
                <w:u w:val="single"/>
                <w:lang w:eastAsia="sk-SK"/>
              </w:rPr>
              <w:t>dve prioritné oblasti</w:t>
            </w:r>
            <w:r w:rsidRPr="0004426E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:</w:t>
            </w:r>
            <w:r w:rsidRPr="0004426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14:paraId="4B45EE68" w14:textId="77777777" w:rsidR="00E07C60" w:rsidRPr="0004426E" w:rsidRDefault="00E07C60" w:rsidP="00E07C60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Podpora rozvoja vysokovýkonného ekosystému digitálneho vzdelávania</w:t>
            </w:r>
          </w:p>
          <w:p w14:paraId="54D7D669" w14:textId="77777777" w:rsidR="00E07C60" w:rsidRPr="008C3531" w:rsidRDefault="00E07C60" w:rsidP="00E07C60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Posilnenie digitálnych zručností a kompetencií relevantných pre digitálnu transformáciu</w:t>
            </w:r>
          </w:p>
          <w:p w14:paraId="774950AF" w14:textId="77777777" w:rsidR="00E07C60" w:rsidRPr="008C3531" w:rsidRDefault="00E07C60" w:rsidP="008C35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C3531">
              <w:rPr>
                <w:rFonts w:ascii="Times New Roman" w:eastAsia="Times New Roman" w:hAnsi="Times New Roman"/>
                <w:color w:val="000000"/>
                <w:lang w:eastAsia="sk-SK"/>
              </w:rPr>
              <w:t>Digitálna transformácia mení spoločnosť a ekonomiku s čoraz väčším vplyvom na každodenný život. Pred pandémiou COVID-19 bol však jej vplyv na vzdelávanie a odbornú prípravu oveľa obmedzenejší. Počas pandémie sa preukázalo, že systém vzdelávania a odbornej prípravy vhodný pre digitálny vek je nevyhnutnosťou. Hoci sa počas pandémie COVID-19 preukázala potreba vyššej úrovne digitálnej kapacity v oblasti vzdelávania a odbornej prípravy, zároveň vzrástol počet existujúcich výziev a nerovností medzi tými, ktorí majú prístup k digitálnym technológiám, a tými, ktorí k nim prístup nemajú, vrátane osôb zo znevýhodneného prostredia. Počas pandémie sa zároveň odhalilo viacero výziev pre systémy vzdelávania a odbornej prípravy, pokiaľ ide o digitálne kapacity vzdelávacích inštitúcií a inštitúcií odbornej prípravy, odbornú prípravu učiteľov a celkovú úroveň digitálnych zručností a schopností. </w:t>
            </w:r>
          </w:p>
          <w:p w14:paraId="425256B2" w14:textId="77777777" w:rsidR="00E07C60" w:rsidRPr="00632714" w:rsidRDefault="00E07C60" w:rsidP="00E07C60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/>
                <w:color w:val="262526"/>
                <w:lang w:eastAsia="sk-SK"/>
              </w:rPr>
            </w:pPr>
          </w:p>
          <w:p w14:paraId="0EE9C62F" w14:textId="142BF5CD" w:rsidR="00287E4C" w:rsidRPr="00034F28" w:rsidRDefault="00287E4C" w:rsidP="00844527">
            <w:pPr>
              <w:jc w:val="both"/>
              <w:rPr>
                <w:rFonts w:ascii="Times New Roman" w:hAnsi="Times New Roman"/>
              </w:rPr>
            </w:pPr>
          </w:p>
        </w:tc>
      </w:tr>
      <w:tr w:rsidR="003C2E38" w14:paraId="58F7967F" w14:textId="77777777" w:rsidTr="00287E4C">
        <w:trPr>
          <w:trHeight w:val="2460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8A28" w14:textId="77777777" w:rsidR="00287E4C" w:rsidRDefault="00287E4C" w:rsidP="0093199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0EE0C2" w14:textId="2BC25EC6" w:rsidR="00FD7404" w:rsidRPr="0093199E" w:rsidRDefault="0093199E" w:rsidP="0093199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 </w:t>
            </w:r>
            <w:r w:rsidR="003C2E38" w:rsidRPr="0093199E">
              <w:rPr>
                <w:rFonts w:ascii="Times New Roman" w:hAnsi="Times New Roman"/>
                <w:b/>
              </w:rPr>
              <w:t>Závery a odporúčania:</w:t>
            </w:r>
          </w:p>
          <w:p w14:paraId="007609A6" w14:textId="77777777" w:rsidR="006C5C41" w:rsidRPr="0044308F" w:rsidRDefault="006C5C41" w:rsidP="006C5C41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  <w:b/>
                <w:u w:val="single"/>
              </w:rPr>
            </w:pPr>
            <w:r w:rsidRPr="0044308F">
              <w:rPr>
                <w:rFonts w:ascii="Times New Roman" w:hAnsi="Times New Roman"/>
                <w:b/>
                <w:u w:val="single"/>
              </w:rPr>
              <w:t>podporovať rozvoj kľúčových kompetencií s osobitným dôrazom na:</w:t>
            </w:r>
          </w:p>
          <w:p w14:paraId="7681B0A7" w14:textId="77777777" w:rsidR="008C3531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zvyšovanie</w:t>
            </w:r>
            <w:r w:rsidRPr="006C5C41">
              <w:rPr>
                <w:rFonts w:ascii="Times New Roman" w:hAnsi="Times New Roman"/>
              </w:rPr>
              <w:t xml:space="preserve"> úrovne základných zručností (gramotnosti, matematickej gramotnosti a základných dig</w:t>
            </w:r>
            <w:r>
              <w:rPr>
                <w:rFonts w:ascii="Times New Roman" w:hAnsi="Times New Roman"/>
              </w:rPr>
              <w:t>itálnych zručností) a podporovanie</w:t>
            </w:r>
            <w:r w:rsidR="008C3531">
              <w:rPr>
                <w:rFonts w:ascii="Times New Roman" w:hAnsi="Times New Roman"/>
              </w:rPr>
              <w:t xml:space="preserve"> rozvíjania</w:t>
            </w:r>
            <w:r w:rsidRPr="006C5C41">
              <w:rPr>
                <w:rFonts w:ascii="Times New Roman" w:hAnsi="Times New Roman"/>
              </w:rPr>
              <w:t xml:space="preserve"> schopnosti učiť sa ako neustále sa zlepšujúceho základu pre učenie a účasť v spoločnosti z hľadiska celoživotného vzdelávania;</w:t>
            </w:r>
          </w:p>
          <w:p w14:paraId="43710847" w14:textId="6862DB25" w:rsidR="006C5C41" w:rsidRPr="006C5C41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5C41">
              <w:rPr>
                <w:rFonts w:ascii="Times New Roman" w:hAnsi="Times New Roman"/>
              </w:rPr>
              <w:t xml:space="preserve">zvyšovať a zdokonaľovať úroveň digitálnych kompetencií na všetkých stupňoch vzdelávania a odbornej prípravy vo všetkých skupinách obyvateľstva; </w:t>
            </w:r>
          </w:p>
          <w:p w14:paraId="62576E66" w14:textId="08F5A9E9" w:rsidR="006C5C41" w:rsidRPr="006C5C41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5C41">
              <w:rPr>
                <w:rFonts w:ascii="Times New Roman" w:hAnsi="Times New Roman"/>
              </w:rPr>
              <w:t xml:space="preserve">podporovať podnikateľské kompetencie, kreatívnosť a iniciatívnosť, najmä u mladých ľudí, napríklad aj prostredníctvom podpory príležitostí pre mladých učiacich sa, aby počas školského vzdelávania mohli získať aspoň jednu praktickú skúsenosť z podnikateľského prostredia; </w:t>
            </w:r>
          </w:p>
          <w:p w14:paraId="4F331A64" w14:textId="0FC73A01" w:rsidR="006C5C41" w:rsidRPr="006C5C41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5C41">
              <w:rPr>
                <w:rFonts w:ascii="Times New Roman" w:hAnsi="Times New Roman"/>
              </w:rPr>
              <w:t>zvýšiť úroveň jazykových kompetencií v úradných a iných jazykoch a podporovať učiacich sa, aby sa učili rôzne jazyky relevantné pre ich pracovnú a životnú situáciu, a ktoré môžu prispieť k cezhraničnej komunikácii a mobilite;</w:t>
            </w:r>
          </w:p>
          <w:p w14:paraId="76885846" w14:textId="57A45D15" w:rsidR="006C5C41" w:rsidRPr="006C5C41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5C41">
              <w:rPr>
                <w:rFonts w:ascii="Times New Roman" w:hAnsi="Times New Roman"/>
              </w:rPr>
              <w:t xml:space="preserve">posilňovať rozvoj občianskych kompetencií s cieľom posilňovania povedomia o spoločných hodnotách  Európskej únie a v Charte základných práv Európskej únie; </w:t>
            </w:r>
          </w:p>
          <w:p w14:paraId="67AF6F7C" w14:textId="24FFF128" w:rsidR="006C5C41" w:rsidRPr="00632714" w:rsidRDefault="006C5C41" w:rsidP="006C5C41">
            <w:pPr>
              <w:shd w:val="clear" w:color="auto" w:fill="FFFFFF"/>
              <w:suppressAutoHyphens w:val="0"/>
              <w:spacing w:before="100" w:beforeAutospacing="1" w:after="100" w:afterAutospacing="1" w:line="360" w:lineRule="atLeast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6C5C41">
              <w:rPr>
                <w:rFonts w:ascii="Times New Roman" w:hAnsi="Times New Roman"/>
              </w:rPr>
              <w:t>zvyšovať povedomie všetkých učiacich sa a pedagogických pracovníkov o význame získavania kľúčových kompetencií a ich vzťahu k spoločnosti</w:t>
            </w:r>
            <w:r>
              <w:t>;</w:t>
            </w:r>
          </w:p>
          <w:p w14:paraId="133AFC8E" w14:textId="514FE0F5" w:rsidR="00287E4C" w:rsidRPr="00B12E58" w:rsidRDefault="00287E4C" w:rsidP="00287E4C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D5567D8" w14:textId="77777777" w:rsidR="003C2E38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17"/>
        <w:gridCol w:w="5045"/>
      </w:tblGrid>
      <w:tr w:rsidR="003C2E38" w14:paraId="192E50C7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DEA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E8AF" w14:textId="47FC0839" w:rsidR="003C2E38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3C2E38" w14:paraId="078957E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58C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D8A0" w14:textId="2538FF51" w:rsidR="003C2E38" w:rsidRDefault="00A86222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12. 06</w:t>
            </w:r>
            <w:r w:rsidR="00C91D9D">
              <w:rPr>
                <w:rFonts w:ascii="Times New Roman" w:hAnsi="Times New Roman"/>
              </w:rPr>
              <w:t>. 2023</w:t>
            </w:r>
          </w:p>
        </w:tc>
      </w:tr>
      <w:tr w:rsidR="003C2E38" w14:paraId="58BC5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FF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112B" w14:textId="77777777" w:rsidR="003C2E38" w:rsidRDefault="003C2E38" w:rsidP="00A744CD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43F701BD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186D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98A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3C2E38" w14:paraId="135DDF78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88BF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0678" w14:textId="7A82CA0F" w:rsidR="003C2E38" w:rsidRDefault="00A86222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13. 06</w:t>
            </w:r>
            <w:r w:rsidR="00C91D9D">
              <w:rPr>
                <w:rFonts w:ascii="Times New Roman" w:hAnsi="Times New Roman"/>
              </w:rPr>
              <w:t>. 2023</w:t>
            </w:r>
          </w:p>
        </w:tc>
      </w:tr>
      <w:tr w:rsidR="003C2E38" w14:paraId="0318A372" w14:textId="77777777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13" w14:textId="77777777" w:rsidR="003C2E38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A681" w14:textId="77777777" w:rsidR="003C2E38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6342F433" w14:textId="77777777"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BF950E6" w14:textId="073FB6CB" w:rsidR="0093199E" w:rsidRDefault="003C2E38" w:rsidP="00E07C60">
      <w:pPr>
        <w:spacing w:after="160" w:line="259" w:lineRule="auto"/>
        <w:rPr>
          <w:rFonts w:ascii="Times New Roman" w:hAnsi="Times New Roman"/>
          <w:b/>
        </w:rPr>
      </w:pPr>
      <w:r>
        <w:br w:type="page"/>
      </w:r>
    </w:p>
    <w:p w14:paraId="325430C9" w14:textId="77777777" w:rsidR="00E07C60" w:rsidRPr="00E07C60" w:rsidRDefault="00E07C60" w:rsidP="00E07C60">
      <w:pPr>
        <w:spacing w:after="160" w:line="259" w:lineRule="auto"/>
        <w:rPr>
          <w:rFonts w:ascii="Times New Roman" w:hAnsi="Times New Roman"/>
          <w:b/>
        </w:rPr>
      </w:pPr>
    </w:p>
    <w:p w14:paraId="56A18402" w14:textId="77777777" w:rsidR="0093199E" w:rsidRDefault="0093199E" w:rsidP="0093199E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D5235B1" w14:textId="77777777" w:rsidR="0093199E" w:rsidRDefault="0093199E" w:rsidP="0093199E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1D79B3EE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 wp14:anchorId="0431C3C5" wp14:editId="042FFF69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73B2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3C2E38" w14:paraId="456C6C3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36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C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14:paraId="5DBFC22F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2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3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14:paraId="1916C7BA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6D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F6C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14:paraId="02B60ACC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D6DB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07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14:paraId="6BE7BFFD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E7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6F1" w14:textId="77777777"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14:paraId="7F2BAE67" w14:textId="77777777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311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3A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49CEA339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17589AA6" w14:textId="77777777"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3D319D15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52568EAD" w14:textId="77777777" w:rsidR="00970066" w:rsidRPr="005E5770" w:rsidRDefault="003C2E38" w:rsidP="009700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konania stretnutia: </w:t>
      </w:r>
      <w:r w:rsidR="00970066" w:rsidRPr="005E5770">
        <w:rPr>
          <w:rFonts w:ascii="Times New Roman" w:hAnsi="Times New Roman"/>
        </w:rPr>
        <w:t xml:space="preserve">SŠ, Jarmočná 132, SL </w:t>
      </w:r>
    </w:p>
    <w:p w14:paraId="213DE2E7" w14:textId="7543DE2C" w:rsidR="003C2E38" w:rsidRDefault="00A86222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12. 06</w:t>
      </w:r>
      <w:r w:rsidR="00C91D9D">
        <w:rPr>
          <w:rFonts w:ascii="Times New Roman" w:hAnsi="Times New Roman"/>
        </w:rPr>
        <w:t>. 2023</w:t>
      </w:r>
    </w:p>
    <w:p w14:paraId="5E36879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6CFBA2BC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0C9EF711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497908E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34"/>
        <w:gridCol w:w="2430"/>
        <w:gridCol w:w="2303"/>
      </w:tblGrid>
      <w:tr w:rsidR="003C2E38" w14:paraId="3ADC0D93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D1C5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3C3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F6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FA4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14:paraId="179C2DD0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3AF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3DE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Alexandra </w:t>
            </w:r>
            <w:proofErr w:type="spellStart"/>
            <w:r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8BC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285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65584719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369E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22C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8B1A" w14:textId="62E05AD8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2C6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49C30875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7D5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9A91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61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C3F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1D14B2D1" w14:textId="77777777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5FE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E65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Frohlichová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047B" w14:textId="4688F4DA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9B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14:paraId="02FCEA91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D8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75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F87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B8C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4DEC2684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72B3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572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8DC8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038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14:paraId="46A69B35" w14:textId="77777777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E2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7797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D6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93E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09D1620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14:paraId="2566833F" w14:textId="77777777"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68C5D583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8"/>
        <w:gridCol w:w="1983"/>
      </w:tblGrid>
      <w:tr w:rsidR="003C2E38" w14:paraId="76B937B0" w14:textId="77777777" w:rsidTr="00DB67CD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ED4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E9ED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D156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87A" w14:textId="77777777"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DB67CD" w14:paraId="04E0F069" w14:textId="77777777" w:rsidTr="00DB67CD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640F" w14:textId="09767299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682" w14:textId="201705E4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Žofia </w:t>
            </w:r>
            <w:proofErr w:type="spellStart"/>
            <w:r>
              <w:rPr>
                <w:rFonts w:ascii="Times New Roman" w:hAnsi="Times New Roman"/>
              </w:rPr>
              <w:t>Kolačkovská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A8DF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F37" w14:textId="6272E24D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</w:t>
            </w:r>
          </w:p>
        </w:tc>
      </w:tr>
      <w:tr w:rsidR="00DB67CD" w14:paraId="170C0D6D" w14:textId="77777777" w:rsidTr="00DB67CD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DF0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6F5" w14:textId="77777777" w:rsidR="00DB67CD" w:rsidRDefault="00DB67CD" w:rsidP="00DB67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584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A1D9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7CD" w14:paraId="3371E45B" w14:textId="77777777" w:rsidTr="00DB67CD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15C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8A30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567D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C769" w14:textId="77777777" w:rsidR="00DB67CD" w:rsidRDefault="00DB67CD" w:rsidP="00DB67C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524F66" w14:textId="77777777"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14:paraId="77BCDBCF" w14:textId="77777777" w:rsidR="003C2E38" w:rsidRDefault="003C2E38" w:rsidP="003C2E38">
      <w:pPr>
        <w:rPr>
          <w:rFonts w:ascii="Times New Roman" w:hAnsi="Times New Roman"/>
        </w:rPr>
      </w:pPr>
    </w:p>
    <w:p w14:paraId="234999A6" w14:textId="77777777" w:rsidR="003C2E38" w:rsidRDefault="003C2E38" w:rsidP="003C2E38">
      <w:pPr>
        <w:rPr>
          <w:rFonts w:ascii="Times New Roman" w:hAnsi="Times New Roman"/>
        </w:rPr>
      </w:pPr>
    </w:p>
    <w:p w14:paraId="59983C1C" w14:textId="77777777" w:rsidR="003C2E38" w:rsidRDefault="003C2E38" w:rsidP="003C2E38"/>
    <w:p w14:paraId="4046F0F6" w14:textId="77777777" w:rsidR="003C2E38" w:rsidRDefault="003C2E38" w:rsidP="003C2E38"/>
    <w:p w14:paraId="7C96F1B1" w14:textId="77777777" w:rsidR="007F1649" w:rsidRDefault="007F1649"/>
    <w:sectPr w:rsidR="007F16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2C84"/>
    <w:multiLevelType w:val="hybridMultilevel"/>
    <w:tmpl w:val="103AD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B59"/>
    <w:multiLevelType w:val="multilevel"/>
    <w:tmpl w:val="42E84880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2D5EB5"/>
    <w:multiLevelType w:val="multilevel"/>
    <w:tmpl w:val="1C9CD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91C6F"/>
    <w:multiLevelType w:val="hybridMultilevel"/>
    <w:tmpl w:val="0FD6F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42325"/>
    <w:multiLevelType w:val="multilevel"/>
    <w:tmpl w:val="0C56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3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8"/>
    <w:rsid w:val="00010248"/>
    <w:rsid w:val="000317D4"/>
    <w:rsid w:val="00034F28"/>
    <w:rsid w:val="00047106"/>
    <w:rsid w:val="000C004C"/>
    <w:rsid w:val="00115A56"/>
    <w:rsid w:val="00126547"/>
    <w:rsid w:val="0017185E"/>
    <w:rsid w:val="001808EA"/>
    <w:rsid w:val="001D0CDF"/>
    <w:rsid w:val="00244C6D"/>
    <w:rsid w:val="00287E4C"/>
    <w:rsid w:val="00295CEC"/>
    <w:rsid w:val="00307FC9"/>
    <w:rsid w:val="00362A25"/>
    <w:rsid w:val="003C2E38"/>
    <w:rsid w:val="003D67AA"/>
    <w:rsid w:val="00446A61"/>
    <w:rsid w:val="00454558"/>
    <w:rsid w:val="004D5631"/>
    <w:rsid w:val="00502C54"/>
    <w:rsid w:val="00551D1E"/>
    <w:rsid w:val="005B2E96"/>
    <w:rsid w:val="006C5C41"/>
    <w:rsid w:val="0072507B"/>
    <w:rsid w:val="007B650E"/>
    <w:rsid w:val="007F1649"/>
    <w:rsid w:val="00835149"/>
    <w:rsid w:val="00844527"/>
    <w:rsid w:val="00850281"/>
    <w:rsid w:val="008C3531"/>
    <w:rsid w:val="0093199E"/>
    <w:rsid w:val="0096055A"/>
    <w:rsid w:val="00970066"/>
    <w:rsid w:val="00A10FCB"/>
    <w:rsid w:val="00A744CD"/>
    <w:rsid w:val="00A86222"/>
    <w:rsid w:val="00AA0F8D"/>
    <w:rsid w:val="00B12E58"/>
    <w:rsid w:val="00B24735"/>
    <w:rsid w:val="00B3203E"/>
    <w:rsid w:val="00B3601E"/>
    <w:rsid w:val="00B73B9E"/>
    <w:rsid w:val="00B8032F"/>
    <w:rsid w:val="00C16EA2"/>
    <w:rsid w:val="00C91D9D"/>
    <w:rsid w:val="00CE1F2D"/>
    <w:rsid w:val="00D97B1A"/>
    <w:rsid w:val="00DB67CD"/>
    <w:rsid w:val="00E07C60"/>
    <w:rsid w:val="00E63314"/>
    <w:rsid w:val="00E637BD"/>
    <w:rsid w:val="00EA164C"/>
    <w:rsid w:val="00EC4E91"/>
    <w:rsid w:val="00F053FA"/>
    <w:rsid w:val="00F87C14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0C9"/>
  <w15:chartTrackingRefBased/>
  <w15:docId w15:val="{D7807C9D-5AC1-4DD7-8FAC-2FF41B3F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047106"/>
    <w:pPr>
      <w:numPr>
        <w:ilvl w:val="4"/>
        <w:numId w:val="7"/>
      </w:numPr>
      <w:suppressAutoHyphens w:val="0"/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47106"/>
    <w:pPr>
      <w:numPr>
        <w:ilvl w:val="5"/>
        <w:numId w:val="7"/>
      </w:numPr>
      <w:suppressAutoHyphens w:val="0"/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34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  <w:style w:type="paragraph" w:customStyle="1" w:styleId="ef-text-para">
    <w:name w:val="ef-text-para"/>
    <w:basedOn w:val="Normlny"/>
    <w:rsid w:val="00E633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0471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047106"/>
    <w:rPr>
      <w:rFonts w:ascii="Times New Roman" w:eastAsia="Times New Roman" w:hAnsi="Times New Roman" w:cs="Times New Roman"/>
      <w:b/>
      <w:bCs/>
    </w:rPr>
  </w:style>
  <w:style w:type="paragraph" w:customStyle="1" w:styleId="NormalnytextDP">
    <w:name w:val="Normalny text DP"/>
    <w:rsid w:val="00047106"/>
    <w:pPr>
      <w:spacing w:before="60" w:after="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dpisKapitoly">
    <w:name w:val="Nadpis Kapitoly"/>
    <w:basedOn w:val="NormalnytextDP"/>
    <w:next w:val="NormalnytextDP"/>
    <w:rsid w:val="00047106"/>
    <w:pPr>
      <w:pageBreakBefore/>
      <w:numPr>
        <w:numId w:val="7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047106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047106"/>
    <w:pPr>
      <w:numPr>
        <w:ilvl w:val="2"/>
      </w:numPr>
      <w:spacing w:before="120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930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policies/school/quality-assurance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2023-06-30T07:36:00Z</cp:lastPrinted>
  <dcterms:created xsi:type="dcterms:W3CDTF">2023-06-30T10:14:00Z</dcterms:created>
  <dcterms:modified xsi:type="dcterms:W3CDTF">2023-06-30T10:14:00Z</dcterms:modified>
</cp:coreProperties>
</file>